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exact"/>
        <w:rPr>
          <w:rFonts w:hint="eastAsia" w:ascii="黑体" w:hAnsi="宋体" w:eastAsia="黑体" w:cs="宋体"/>
          <w:bCs/>
          <w:kern w:val="0"/>
          <w:szCs w:val="36"/>
        </w:rPr>
      </w:pPr>
      <w:r>
        <w:rPr>
          <w:rFonts w:hint="eastAsia" w:ascii="黑体" w:hAnsi="宋体" w:eastAsia="黑体" w:cs="宋体"/>
          <w:bCs/>
          <w:kern w:val="0"/>
          <w:szCs w:val="36"/>
        </w:rPr>
        <w:t>附件1</w:t>
      </w:r>
    </w:p>
    <w:p>
      <w:pPr>
        <w:widowControl/>
        <w:spacing w:line="4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工商登记前置审批事项目录</w:t>
      </w:r>
    </w:p>
    <w:bookmarkEnd w:id="0"/>
    <w:p>
      <w:pPr>
        <w:spacing w:line="4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hAnsi="仿宋_GB2312"/>
        </w:rPr>
        <w:t>（2017年5月）</w:t>
      </w:r>
    </w:p>
    <w:tbl>
      <w:tblPr>
        <w:tblStyle w:val="4"/>
        <w:tblW w:w="98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98"/>
        <w:gridCol w:w="663"/>
        <w:gridCol w:w="3520"/>
        <w:gridCol w:w="1920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23" w:hRule="atLeast"/>
          <w:tblHeader/>
          <w:jc w:val="center"/>
        </w:trPr>
        <w:tc>
          <w:tcPr>
            <w:tcW w:w="598" w:type="dxa"/>
            <w:vAlign w:val="top"/>
          </w:tcPr>
          <w:p>
            <w:pPr>
              <w:pStyle w:val="5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pStyle w:val="5"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520" w:type="dxa"/>
            <w:vAlign w:val="center"/>
          </w:tcPr>
          <w:p>
            <w:pPr>
              <w:pStyle w:val="5"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20" w:type="dxa"/>
            <w:vAlign w:val="center"/>
          </w:tcPr>
          <w:p>
            <w:pPr>
              <w:pStyle w:val="5"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实施机关</w:t>
            </w:r>
          </w:p>
        </w:tc>
        <w:tc>
          <w:tcPr>
            <w:tcW w:w="3167" w:type="dxa"/>
            <w:vAlign w:val="center"/>
          </w:tcPr>
          <w:p>
            <w:pPr>
              <w:pStyle w:val="5"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设定依据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57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律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明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确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记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置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批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录</w:t>
            </w: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证券公司设立审批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证监会</w:t>
            </w:r>
          </w:p>
        </w:tc>
        <w:tc>
          <w:tcPr>
            <w:tcW w:w="316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《中华人民共和国证券法》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643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烟草专卖生产企业许可证核发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国家烟草专卖局</w:t>
            </w:r>
          </w:p>
        </w:tc>
        <w:tc>
          <w:tcPr>
            <w:tcW w:w="316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《中华人民共和国烟草专卖法》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《中华人民共和国烟草专卖法实施条例》（国务院令第223号）</w:t>
            </w:r>
            <w:r>
              <w:rPr>
                <w:rFonts w:ascii="宋体" w:hAnsi="宋体" w:eastAsia="宋体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60" w:hRule="atLeast"/>
          <w:jc w:val="center"/>
        </w:trPr>
        <w:tc>
          <w:tcPr>
            <w:tcW w:w="598" w:type="dxa"/>
            <w:vMerge w:val="continue"/>
            <w:shd w:val="clear" w:color="auto" w:fill="auto"/>
            <w:vAlign w:val="top"/>
          </w:tcPr>
          <w:p>
            <w:pPr>
              <w:spacing w:line="360" w:lineRule="exact"/>
              <w:ind w:left="42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0"/>
                <w:szCs w:val="20"/>
              </w:rPr>
              <w:t>烟草专卖批发企业许可证核发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国家烟草专卖局或省级烟草专卖行政主管部门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《中华人民共和国烟草专卖法》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《烟草专卖法实施条例》（国务院令第223号）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60" w:hRule="atLeast"/>
          <w:jc w:val="center"/>
        </w:trPr>
        <w:tc>
          <w:tcPr>
            <w:tcW w:w="598" w:type="dxa"/>
            <w:vMerge w:val="continue"/>
            <w:shd w:val="clear" w:color="auto" w:fill="auto"/>
            <w:vAlign w:val="top"/>
          </w:tcPr>
          <w:p>
            <w:pPr>
              <w:spacing w:line="360" w:lineRule="exact"/>
              <w:ind w:left="42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5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宋体" w:hAnsi="宋体" w:eastAsia="宋体" w:cs="仿宋_GB2312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通用航空企业经营许可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民航地区管理局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《中华人民共和国民用航空法》《国务院关于第六批决定取消和调整行政审批项目的决定》（国发〔2012〕52号）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left="99" w:leftChars="31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国务 院决定保留的工商登记前置审批事项目录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国务院决定保留的工商登记前置审批事项目录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民用爆炸物品生产许可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工业和信息化部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《民用爆炸物品安全管理条例》（国务院令第466号）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爆破作业单位许可证核发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省级、设区的市级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人民政府公安机关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《民用爆炸物品安全管理条例》（国务院令第466号）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民用枪支（弹药）制造、配售许可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公安部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、省级人民政府公安机关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《中华人民共和国枪支管理法》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625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制造、销售弩或营业性射击场开设弩射项目审批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省级人民政府公安机关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《国务院对确需保留的行政审批项目设定行政许可的决定》（国务院令第412号）《公安部国家工商行政管理局关于加强弩管理的通知》（公治〔1999〕1646号）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保安服务许可证核发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省级人民政府公安机关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《保安服务管理条例》（国务院令第564号）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73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520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涉及国家规定实施准入特别管理措施的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外商投资企业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设立及变更审批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商务部、国务院授权的部门或地方人民政府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《中华人民共和国中外合资经营企业法》《中华人民共和国中外合作经营企业法》《中华人民共和国台湾同胞投资保护法》《中华人民共和国外资企业法》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设立经营个人征信业务的征信机构审批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中国人民银行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《征信业管理条例》（国务院令第631号）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卫星电视广播地面接收设施安装许可审批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新闻出版广电总局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《卫星电视广播地面接收设施管理规定》（国务院令第129号）《关于进一步加强卫星电视广播地面接收设施管理的意见》（广发外字〔2002〕254号）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设立出版物进口经营单位审批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新闻出版广电总局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《出版管理条例》（国务院令第594号）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设立出版单位审批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新闻出版广电总局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《出版管理条例》（国务院令第594号）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境外出版机构在境内设立办事机构审批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新闻出版广电总局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国务院新闻办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《国务院对确需保留的行政审批项目设定行政许可的决定》（国务院令第412号）《外国企业常驻代表机构登记管理条例》（国务院令第584号）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境外广播电影电视机构在华设立办事机构审批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新闻出版广电总局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国务院新闻办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《国务院对确需保留的行政审批项目设定行政许可的决定》（国务院令第412号）《外国企业常驻代表机构登记管理条例》（国务院令第584号）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危险化学品经营许可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县级、设区的市级人民政府安全生产监督管理部门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《危险化学品安全管理条例》（国务院令第591号）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新建、改建、扩建生产、储存危险化学品（包括使用长输管道输送危险化学品）建设项目安全条件审查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；新建、改建、扩建储存、装卸危险化学品的港口建设项目安全条件审查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设区的市级以上人民政府安全生产监督管理部门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；港口行政管理部门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《危险化学品安全管理条例》（国务院令第591号）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烟花爆竹生产企业安全生产许可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省级人民政府安全生产监督管理部门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《烟花爆竹安全管理条例》（国务院令第455号）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外资银行营业性机构及其分支机构设立审批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银监会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《中华人民共和国银行业监督管理法》《外资银行管理条例》（国务院令第478号）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外国银行代表处设立审批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银监会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《中华人民共和国银行业监督管理法》《外资银行管理条例》（国务院令第478号）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中资银行业金融机构及其分支机构设立审批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银监会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《中华人民共和国银行业监督管理法》《中华人民共和国商业银行法》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非银行金融机构（分支机构）设立审批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银监会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《中华人民共和国银行业监督管理法》《金融资产管理公司条例》（国务院令第297号）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融资性担保机构设立审批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省级人民政府确定的部门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国务院对确需保留的行政审批项目设定行政许可的决定》（国务院令第412号）《国务院关于修改〈国务院对确需保留的行政审批项目设定行政许可的决定〉的决定》（国务院令第548号）《融资性担保公司管理暂行办法》（银监会令2010年第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外国证券类机构设立驻华代表机构核准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证监会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《国务院对确需保留的行政审批项目设定行政许可的决定》（国务院令第412号）《国务院关于管理外国企业常驻代表机构的暂行规定》（国发〔1980〕272号）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设立期货专门结算机构审批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证监会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《期货交易管理条例》（国务院令第627号）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设立期货交易场所审批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国务院或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证监会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《期货交易管理条例》（国务院令第627号）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证券交易所设立审核、证券登记结算机构设立审批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国务院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《中华人民共和国证券法》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专属自保组织和相互保险组织设立审批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《国务院对确需保留的行政审批项目设定行政许可的决定》（国务院令第412号）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保险公司及其分支机构设立审批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《中华人民共和国保险法》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598" w:type="dxa"/>
            <w:vMerge w:val="continue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520" w:type="dxa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外国保险机构驻华代表机构设立审批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保监会</w:t>
            </w:r>
          </w:p>
        </w:tc>
        <w:tc>
          <w:tcPr>
            <w:tcW w:w="3167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《中华人民共和国保险法》《国务院对确需保留的行政审批项目设定行政许可的决定》（国务院令第412号）《国务院关于管理外国企业常驻代表机构的暂行规定》（国发〔1980〕272号）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85" w:hRule="atLeast"/>
          <w:jc w:val="center"/>
        </w:trPr>
        <w:tc>
          <w:tcPr>
            <w:tcW w:w="598" w:type="dxa"/>
            <w:vMerge w:val="continue"/>
            <w:shd w:val="clear" w:color="auto" w:fill="auto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52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快递业务经营许可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国家邮政局或省级邮政管理机构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《中华人民共和国邮政法》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77EC"/>
    <w:rsid w:val="54F077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5">
    <w:name w:val="正文 New"/>
    <w:basedOn w:val="1"/>
    <w:uiPriority w:val="0"/>
    <w:pPr>
      <w:spacing w:line="240" w:lineRule="atLeast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2017-05-18T02:35:00Z</dcterms:created>
  <dc:creator>User</dc:creator>
  <cp:lastModifiedBy>User</cp:lastModifiedBy>
  <dcterms:modified xsi:type="dcterms:W3CDTF">2017-05-18T02:36:05Z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