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仿宋_GB2312" w:cs="华文中宋"/>
          <w:sz w:val="32"/>
          <w:szCs w:val="48"/>
          <w:lang w:val="en-US" w:eastAsia="zh-CN"/>
        </w:rPr>
      </w:pPr>
      <w:r>
        <w:rPr>
          <w:rFonts w:hint="eastAsia" w:ascii="华文中宋" w:hAnsi="华文中宋" w:eastAsia="仿宋_GB2312" w:cs="华文中宋"/>
          <w:sz w:val="32"/>
          <w:szCs w:val="48"/>
          <w:lang w:val="en" w:eastAsia="zh-CN"/>
        </w:rPr>
        <w:t>附件</w:t>
      </w:r>
      <w:r>
        <w:rPr>
          <w:rFonts w:hint="eastAsia" w:ascii="华文中宋" w:hAnsi="华文中宋" w:eastAsia="仿宋_GB2312" w:cs="华文中宋"/>
          <w:sz w:val="32"/>
          <w:szCs w:val="48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sz w:val="48"/>
          <w:szCs w:val="48"/>
        </w:rPr>
        <w:t>会计师事务所数据安全管理暂行办法</w:t>
      </w:r>
    </w:p>
    <w:p>
      <w:pPr>
        <w:jc w:val="center"/>
        <w:rPr>
          <w:rFonts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sz w:val="48"/>
          <w:szCs w:val="48"/>
        </w:rPr>
        <w:t>起草说明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为贯彻落实《国务院办公厅关于进一步规范财务审计秩序 促进注册会计师行业健康发展的意见》（国办发〔2021〕30号）的要求，加强会计师事务所数据安全管理，规范会计师事务所数据处理活动,财政部会同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网信办研究起草了《会计师事务所数据安全管理暂行办法》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》(以下简称《办法》）。现将有关情况说明如下：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总体考虑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《办法》定位为会计师事务所数据安全管理顶层设计，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全面对接数据安全法要求。在注册会计师行业对国家数据安全管理制度进行细化，明确落实数据分级分类管理制度、各类数据处理要求、数据安全保护义务等法律规定，为行业数据安全监管提供制度保障。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构建注册会计师行业数据安全监管体系。明确财政部、国家网信办、地方财政部门、地方网信部门和注册会计师协会等各方面的职责范围，建立权责一致的工作机制。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明确数据管理要求。根据注册会计师行业的实际情况，明确了会计师事务所数据管理的主要内容、责任人员、管理要求、网络防护等要求，指导行业健全数据安全管理和技术保护措施，履行保护义务。</w:t>
      </w:r>
    </w:p>
    <w:p>
      <w:pPr>
        <w:pStyle w:val="10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、主要内容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《办法》共5章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第一部分为总则，主要包括制定依据、适用范围、责任主体、监管机构、行业自律等内容。第二部分为数据管理，包括总体责任、责任人员、数据分级分类、数据管理、数据存储、数据传输管理、数据加密管理、数据备份、业务约定书、技术保护手段、日常安全监测、监管合作、出境底稿内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。第三部分为网络管理，主要包括网络管理制度、资源投入、系统账户管理等内容。第四部分为监督检查，包括信息共享、日常检查、重点检查对象、配合检查义务、网络安全审查机制、行政管理措施、行政处罚、移送处理等内容。第五部分为附则，包括涉密信息处理、个人信息处理、其他业务、解释部门、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等内容。</w:t>
      </w:r>
    </w:p>
    <w:p>
      <w:pPr>
        <w:widowControl/>
        <w:ind w:firstLine="64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重点问题的说明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widowControl/>
        <w:ind w:firstLine="640"/>
        <w:rPr>
          <w:rFonts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《办法》立足规范会计师事务所数据安全管理，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从以下方面进行了设计：</w:t>
      </w:r>
    </w:p>
    <w:p>
      <w:pPr>
        <w:widowControl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明确适用范围、数据定义和各方主体。《办法》的适用范围是在中国境内依法设立并</w:t>
      </w:r>
      <w:r>
        <w:rPr>
          <w:rFonts w:hint="eastAsia" w:ascii="仿宋_GB2312" w:hAnsi="仿宋_GB2312" w:eastAsia="仿宋_GB2312" w:cs="仿宋_GB2312"/>
          <w:sz w:val="32"/>
          <w:szCs w:val="32"/>
        </w:rPr>
        <w:t>为上市公司以及非上市的国有金融机构、中央企业等提供审计服务,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或者开展跨境审计的会计师事务所及其从业人员。数据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会计师事务所执行审计业务过程中，从外部获取和内部生成的任何以电子或者其他方式对信息的记录。会计师事务所承担本机构的数据安全主体责任。财政部门和网信部门是会计师事务所数据安全的监管机构。注册会计师协会是会计师事务所数据安全的自律管理主体。</w:t>
      </w:r>
    </w:p>
    <w:p>
      <w:pPr>
        <w:numPr>
          <w:ilvl w:val="255"/>
          <w:numId w:val="0"/>
        </w:num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会计师事务所数据管理。在规定了总体责任和责任人员的基础上，《办法》要求会计师事务所对数据区分核心数据、重要数据、一般数据进行分级分类管理。《办法》对数据传输、数据加密、数据备份等事项作出具体规定，对数据管理技术手段、数据存储方式、日志管理等提出具体要求。会计师事务所应当综合采取网络隔离、用户认证、访问控制、数据加密、病毒防范、非法入侵检测等技术手段加强数据管理，相关数据应当存储境内。《办法》同时对跨境审计监管中涉及的数据出境事项作出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完善会计师事务所网络保障。《办法》明确，会计师事务所应当建立完善的网络管理治理架构，建立健全内部网络管理制度体系，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业务活动规模及复杂程度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配置具备相关职业技能水平的网络管理技术人员，确保合理的网络资源投入和资金投入。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针对部分会计师事务所网络安全管理不严的问题，《办法》要求会计师事务所设置严格的访问控制策略，统一管理各类账户，不得设置不受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限制的</w:t>
      </w:r>
      <w:r>
        <w:rPr>
          <w:rFonts w:hint="eastAsia" w:ascii="仿宋_GB2312" w:hAnsi="仿宋_GB2312" w:eastAsia="仿宋_GB2312" w:cs="仿宋_GB2312"/>
          <w:sz w:val="32"/>
          <w:szCs w:val="32"/>
        </w:rPr>
        <w:t>超级账户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防范未经授权的访问行为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监督检查。《办法》与《会计师事务所监督检查办法》衔接，明确财政部门、网信部门开展会计师事务所数据安全检查及重点检查内容。对于承接金融、能源、通信、交通、科技、国防科工等重要领域审计业务较多的会计师事务所，将开展全覆盖监督检查，并持续加强日常监管。特定情况下，可以启动对会计师事务所的网络安全审查机制。考虑到数据安全检查有一定专业性，《办法》规定，相关部门可以委托有关专业机构采用专业手段协助开展监督检查。《办法》落实法律责任，规定对于违法违规行为，相关部门根据《中华人民共和国数据安全法》相关规定依法作出处理处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B8D14"/>
    <w:multiLevelType w:val="singleLevel"/>
    <w:tmpl w:val="43CB8D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0"/>
    <w:rsid w:val="0001093E"/>
    <w:rsid w:val="000F51CD"/>
    <w:rsid w:val="00104472"/>
    <w:rsid w:val="00186480"/>
    <w:rsid w:val="00194A9B"/>
    <w:rsid w:val="00281E51"/>
    <w:rsid w:val="002E6625"/>
    <w:rsid w:val="003577F5"/>
    <w:rsid w:val="003C5C48"/>
    <w:rsid w:val="004912D5"/>
    <w:rsid w:val="004B5AED"/>
    <w:rsid w:val="004C271C"/>
    <w:rsid w:val="00543B8B"/>
    <w:rsid w:val="00572D44"/>
    <w:rsid w:val="00580463"/>
    <w:rsid w:val="00661A12"/>
    <w:rsid w:val="006A765A"/>
    <w:rsid w:val="006B3973"/>
    <w:rsid w:val="00710CF9"/>
    <w:rsid w:val="007C18ED"/>
    <w:rsid w:val="0089777B"/>
    <w:rsid w:val="00940FBE"/>
    <w:rsid w:val="00972567"/>
    <w:rsid w:val="00B01173"/>
    <w:rsid w:val="00BD154D"/>
    <w:rsid w:val="00C11943"/>
    <w:rsid w:val="00C12B3B"/>
    <w:rsid w:val="00C710E9"/>
    <w:rsid w:val="00C80B0D"/>
    <w:rsid w:val="00CD219D"/>
    <w:rsid w:val="00CD65F2"/>
    <w:rsid w:val="00D60088"/>
    <w:rsid w:val="00DC1539"/>
    <w:rsid w:val="00EB2D0A"/>
    <w:rsid w:val="015D69B6"/>
    <w:rsid w:val="0AFA1480"/>
    <w:rsid w:val="10A10E0C"/>
    <w:rsid w:val="118A2CC5"/>
    <w:rsid w:val="1553728C"/>
    <w:rsid w:val="17944A8B"/>
    <w:rsid w:val="19B37EF0"/>
    <w:rsid w:val="1D70434D"/>
    <w:rsid w:val="1E141A64"/>
    <w:rsid w:val="1F505A45"/>
    <w:rsid w:val="1FFD86C1"/>
    <w:rsid w:val="2906515D"/>
    <w:rsid w:val="2D757BE1"/>
    <w:rsid w:val="2DF17629"/>
    <w:rsid w:val="2F24463B"/>
    <w:rsid w:val="32316E37"/>
    <w:rsid w:val="369000F9"/>
    <w:rsid w:val="3D4F336F"/>
    <w:rsid w:val="3FEC2B20"/>
    <w:rsid w:val="47E271FA"/>
    <w:rsid w:val="55B70561"/>
    <w:rsid w:val="574277D4"/>
    <w:rsid w:val="58474DCD"/>
    <w:rsid w:val="5BDBD1F7"/>
    <w:rsid w:val="5BDDC82D"/>
    <w:rsid w:val="5D17A855"/>
    <w:rsid w:val="5DF2600B"/>
    <w:rsid w:val="5E1E370E"/>
    <w:rsid w:val="5FEE451E"/>
    <w:rsid w:val="60205B8C"/>
    <w:rsid w:val="628E68D3"/>
    <w:rsid w:val="62C4117D"/>
    <w:rsid w:val="62F25DC1"/>
    <w:rsid w:val="630943E8"/>
    <w:rsid w:val="63B8008D"/>
    <w:rsid w:val="66942888"/>
    <w:rsid w:val="672D2F3A"/>
    <w:rsid w:val="6978312A"/>
    <w:rsid w:val="6C05797C"/>
    <w:rsid w:val="6D0B7094"/>
    <w:rsid w:val="6F54BB99"/>
    <w:rsid w:val="6F7D3D11"/>
    <w:rsid w:val="6FEBFF83"/>
    <w:rsid w:val="6FEE3089"/>
    <w:rsid w:val="757E564A"/>
    <w:rsid w:val="7BEE57CA"/>
    <w:rsid w:val="7DEEB262"/>
    <w:rsid w:val="7EE63E03"/>
    <w:rsid w:val="7F7F6F3C"/>
    <w:rsid w:val="7FFB3FB9"/>
    <w:rsid w:val="9B7C7A44"/>
    <w:rsid w:val="9CDD52F3"/>
    <w:rsid w:val="B7FF589B"/>
    <w:rsid w:val="BDFA1538"/>
    <w:rsid w:val="BEFD5846"/>
    <w:rsid w:val="BF7997AC"/>
    <w:rsid w:val="BF7E373B"/>
    <w:rsid w:val="D2F70A4C"/>
    <w:rsid w:val="D3FE9865"/>
    <w:rsid w:val="DC159ACF"/>
    <w:rsid w:val="DFE701E1"/>
    <w:rsid w:val="F2DFE82E"/>
    <w:rsid w:val="F73F94E8"/>
    <w:rsid w:val="F7ED653F"/>
    <w:rsid w:val="F7FF245E"/>
    <w:rsid w:val="F97D0146"/>
    <w:rsid w:val="FF2E2629"/>
    <w:rsid w:val="FFE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Cs w:val="20"/>
    </w:rPr>
  </w:style>
  <w:style w:type="paragraph" w:styleId="4">
    <w:name w:val="Title"/>
    <w:next w:val="1"/>
    <w:qFormat/>
    <w:uiPriority w:val="10"/>
    <w:pPr>
      <w:keepLines/>
      <w:widowControl w:val="0"/>
      <w:adjustRightInd w:val="0"/>
      <w:snapToGrid w:val="0"/>
      <w:spacing w:line="596" w:lineRule="exact"/>
      <w:jc w:val="center"/>
      <w:outlineLvl w:val="0"/>
    </w:pPr>
    <w:rPr>
      <w:rFonts w:ascii="Times New Roman" w:hAnsi="Times New Roman" w:eastAsia="华文中宋" w:cs="Times New Roman"/>
      <w:b/>
      <w:bCs/>
      <w:kern w:val="2"/>
      <w:sz w:val="4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352</Words>
  <Characters>2007</Characters>
  <Lines>16</Lines>
  <Paragraphs>4</Paragraphs>
  <TotalTime>1</TotalTime>
  <ScaleCrop>false</ScaleCrop>
  <LinksUpToDate>false</LinksUpToDate>
  <CharactersWithSpaces>2355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2021-10-26T00:55:00Z</dcterms:created>
  <dc:creator>li eric</dc:creator>
  <cp:lastModifiedBy>qiuying</cp:lastModifiedBy>
  <cp:lastPrinted>2023-10-18T03:15:00Z</cp:lastPrinted>
  <dcterms:modified xsi:type="dcterms:W3CDTF">2023-11-09T16:08:23Z</dcterms:modified>
  <dc:title>会计师事务所数据安全管理暂行办法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