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（边角料、剩余料件、残次品、副产品和受灾保税货物核查）</w:t>
      </w:r>
      <w:bookmarkEnd w:id="0"/>
    </w:p>
    <w:p>
      <w:pPr>
        <w:widowControl/>
        <w:spacing w:line="560" w:lineRule="exact"/>
        <w:jc w:val="center"/>
        <w:outlineLvl w:val="0"/>
        <w:rPr>
          <w:rFonts w:ascii="Times New Roman" w:eastAsia="方正小标宋_GBK" w:hAnsi="Times New Roman"/>
          <w:sz w:val="36"/>
          <w:szCs w:val="36"/>
        </w:rPr>
      </w:pPr>
    </w:p>
    <w:p>
      <w:pPr>
        <w:pStyle w:val="35"/>
        <w:widowControl/>
        <w:spacing w:line="560" w:lineRule="exact"/>
        <w:rPr>
          <w:rFonts w:eastAsia="方正小标宋_GBK"/>
          <w:sz w:val="28"/>
          <w:szCs w:val="28"/>
        </w:rPr>
      </w:pPr>
      <w:r>
        <w:rPr>
          <w:rFonts w:eastAsia="方正小标宋_GBK"/>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36"/>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37"/>
              <w:spacing w:line="480" w:lineRule="exact"/>
              <w:rPr>
                <w:rFonts w:eastAsia="方正仿宋_GBK"/>
                <w:sz w:val="28"/>
                <w:szCs w:val="28"/>
              </w:rPr>
            </w:pPr>
          </w:p>
        </w:tc>
        <w:tc>
          <w:tcPr>
            <w:tcW w:w="1543" w:type="dxa"/>
            <w:vAlign w:val="center"/>
          </w:tcPr>
          <w:p>
            <w:pPr>
              <w:pStyle w:val="38"/>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39"/>
              <w:spacing w:line="480" w:lineRule="exact"/>
              <w:rPr>
                <w:rFonts w:eastAsia="方正仿宋_GBK"/>
                <w:sz w:val="28"/>
                <w:szCs w:val="28"/>
              </w:rPr>
            </w:pPr>
          </w:p>
        </w:tc>
      </w:tr>
      <w:tr>
        <w:tc>
          <w:tcPr>
            <w:tcW w:w="1578" w:type="dxa"/>
            <w:vAlign w:val="center"/>
          </w:tcPr>
          <w:p>
            <w:pPr>
              <w:pStyle w:val="40"/>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40"/>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41"/>
              <w:spacing w:line="0" w:lineRule="atLeast"/>
              <w:rPr>
                <w:rFonts w:eastAsia="方正仿宋_GBK"/>
                <w:sz w:val="28"/>
              </w:rPr>
            </w:pPr>
          </w:p>
        </w:tc>
        <w:tc>
          <w:tcPr>
            <w:tcW w:w="1543" w:type="dxa"/>
            <w:vAlign w:val="center"/>
          </w:tcPr>
          <w:p>
            <w:pPr>
              <w:pStyle w:val="42"/>
              <w:spacing w:line="0" w:lineRule="atLeast"/>
              <w:jc w:val="center"/>
              <w:rPr>
                <w:rFonts w:ascii="方正楷体_GBK" w:eastAsia="方正楷体_GBK"/>
                <w:sz w:val="32"/>
                <w:szCs w:val="32"/>
              </w:rPr>
            </w:pPr>
            <w:r>
              <w:rPr>
                <w:rFonts w:ascii="方正楷体_GBK" w:eastAsia="方正楷体_GBK" w:hint="eastAsia"/>
                <w:sz w:val="32"/>
                <w:szCs w:val="32"/>
              </w:rPr>
              <w:t>市场主体类型</w:t>
            </w:r>
          </w:p>
        </w:tc>
        <w:tc>
          <w:tcPr>
            <w:tcW w:w="2309" w:type="dxa"/>
            <w:vAlign w:val="center"/>
          </w:tcPr>
          <w:p>
            <w:pPr>
              <w:pStyle w:val="43"/>
              <w:spacing w:line="0" w:lineRule="atLeast"/>
              <w:rPr>
                <w:rFonts w:eastAsia="方正仿宋_GBK"/>
                <w:sz w:val="28"/>
              </w:rPr>
            </w:pPr>
          </w:p>
        </w:tc>
      </w:tr>
      <w:tr>
        <w:trPr>
          <w:trHeight w:val="90"/>
        </w:trPr>
        <w:tc>
          <w:tcPr>
            <w:tcW w:w="1578" w:type="dxa"/>
            <w:vAlign w:val="center"/>
          </w:tcPr>
          <w:p>
            <w:pPr>
              <w:pStyle w:val="44"/>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45"/>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45"/>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45"/>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44"/>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45"/>
              <w:spacing w:line="480" w:lineRule="exact"/>
              <w:rPr>
                <w:rFonts w:ascii="Times New Roman" w:eastAsia="方正仿宋_GBK" w:hAnsi="Times New Roman"/>
                <w:sz w:val="28"/>
                <w:szCs w:val="28"/>
              </w:rPr>
            </w:pPr>
          </w:p>
        </w:tc>
      </w:tr>
      <w:tr>
        <w:trPr>
          <w:trHeight w:val="1082"/>
        </w:trPr>
        <w:tc>
          <w:tcPr>
            <w:tcW w:w="1578" w:type="dxa"/>
            <w:vAlign w:val="center"/>
          </w:tcPr>
          <w:p>
            <w:pPr>
              <w:pStyle w:val="46"/>
              <w:spacing w:line="0" w:lineRule="atLeast"/>
              <w:jc w:val="center"/>
              <w:rPr>
                <w:rFonts w:ascii="方正楷体_GBK" w:eastAsia="方正楷体_GBK"/>
                <w:sz w:val="32"/>
                <w:szCs w:val="32"/>
              </w:rPr>
            </w:pPr>
            <w:r>
              <w:rPr>
                <w:rFonts w:ascii="方正楷体_GBK" w:eastAsia="方正楷体_GBK" w:hint="eastAsia"/>
                <w:sz w:val="32"/>
                <w:szCs w:val="32"/>
              </w:rPr>
              <w:t>法定代表人</w:t>
            </w:r>
          </w:p>
        </w:tc>
        <w:tc>
          <w:tcPr>
            <w:tcW w:w="3392" w:type="dxa"/>
            <w:vAlign w:val="center"/>
          </w:tcPr>
          <w:p>
            <w:pPr>
              <w:pStyle w:val="47"/>
              <w:spacing w:line="0" w:lineRule="atLeast"/>
              <w:rPr>
                <w:rFonts w:eastAsia="方正仿宋_GBK"/>
                <w:sz w:val="28"/>
              </w:rPr>
            </w:pPr>
          </w:p>
        </w:tc>
        <w:tc>
          <w:tcPr>
            <w:tcW w:w="1543" w:type="dxa"/>
            <w:vAlign w:val="center"/>
          </w:tcPr>
          <w:p>
            <w:pPr>
              <w:pStyle w:val="48"/>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49"/>
              <w:spacing w:line="0" w:lineRule="atLeast"/>
              <w:rPr>
                <w:rFonts w:eastAsia="方正仿宋_GBK"/>
                <w:sz w:val="28"/>
              </w:rPr>
            </w:pPr>
          </w:p>
        </w:tc>
      </w:tr>
      <w:tr>
        <w:trPr>
          <w:trHeight w:val="1082"/>
        </w:trPr>
        <w:tc>
          <w:tcPr>
            <w:tcW w:w="1578" w:type="dxa"/>
            <w:vAlign w:val="center"/>
          </w:tcPr>
          <w:p>
            <w:pPr>
              <w:pStyle w:val="46"/>
              <w:spacing w:line="0" w:lineRule="atLeast"/>
              <w:jc w:val="center"/>
              <w:rPr>
                <w:rFonts w:ascii="方正楷体_GBK" w:eastAsia="方正楷体_GBK"/>
                <w:sz w:val="32"/>
                <w:szCs w:val="32"/>
              </w:rPr>
            </w:pPr>
            <w:r>
              <w:rPr>
                <w:rFonts w:ascii="方正楷体_GBK" w:eastAsia="方正楷体_GBK" w:hint="eastAsia"/>
                <w:sz w:val="32"/>
                <w:szCs w:val="32"/>
              </w:rPr>
              <w:t>企业联系人</w:t>
            </w:r>
          </w:p>
        </w:tc>
        <w:tc>
          <w:tcPr>
            <w:tcW w:w="3392" w:type="dxa"/>
            <w:vAlign w:val="center"/>
          </w:tcPr>
          <w:p>
            <w:pPr>
              <w:pStyle w:val="47"/>
              <w:spacing w:line="0" w:lineRule="atLeast"/>
              <w:rPr>
                <w:rFonts w:eastAsia="方正仿宋_GBK"/>
                <w:sz w:val="28"/>
              </w:rPr>
            </w:pPr>
          </w:p>
        </w:tc>
        <w:tc>
          <w:tcPr>
            <w:tcW w:w="1543" w:type="dxa"/>
            <w:vAlign w:val="center"/>
          </w:tcPr>
          <w:p>
            <w:pPr>
              <w:pStyle w:val="48"/>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49"/>
              <w:spacing w:line="0" w:lineRule="atLeast"/>
              <w:rPr>
                <w:rFonts w:eastAsia="方正仿宋_GBK"/>
                <w:sz w:val="28"/>
              </w:rPr>
            </w:pPr>
          </w:p>
        </w:tc>
      </w:tr>
      <w:tr>
        <w:trPr>
          <w:trHeight w:val="1212"/>
        </w:trPr>
        <w:tc>
          <w:tcPr>
            <w:tcW w:w="1578" w:type="dxa"/>
            <w:vAlign w:val="center"/>
          </w:tcPr>
          <w:p>
            <w:pPr>
              <w:pStyle w:val="46"/>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49"/>
              <w:spacing w:line="0" w:lineRule="atLeast"/>
              <w:rPr>
                <w:rFonts w:eastAsia="方正仿宋_GBK"/>
                <w:sz w:val="28"/>
              </w:rPr>
            </w:pPr>
            <w:r>
              <w:rPr>
                <w:rFonts w:ascii="Times New Roman" w:eastAsia="方正仿宋_GBK" w:hAnsi="Times New Roman"/>
                <w:sz w:val="28"/>
                <w:szCs w:val="28"/>
              </w:rPr>
              <w:t>（可根据实际填写）</w:t>
            </w:r>
            <w:r>
              <w:rPr>
                <w:rFonts w:ascii="Times New Roman" w:eastAsia="方正仿宋_GBK" w:hAnsi="Times New Roman" w:hint="eastAsia"/>
                <w:sz w:val="28"/>
                <w:szCs w:val="28"/>
              </w:rPr>
              <w:t>检查企业边角料、剩余料件、残次品、副产品和受灾保税货物向海关申报的情况与实际是否相符。</w:t>
            </w:r>
          </w:p>
        </w:tc>
      </w:tr>
      <w:tr>
        <w:trPr>
          <w:trHeight w:val="926"/>
        </w:trPr>
        <w:tc>
          <w:tcPr>
            <w:tcW w:w="1578" w:type="dxa"/>
            <w:vAlign w:val="center"/>
          </w:tcPr>
          <w:p>
            <w:pPr>
              <w:pStyle w:val="46"/>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49"/>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46"/>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vAlign w:val="center"/>
          </w:tcPr>
          <w:p>
            <w:pPr>
              <w:pStyle w:val="49"/>
              <w:spacing w:line="0" w:lineRule="atLeast"/>
              <w:ind w:firstLineChars="300" w:firstLine="960"/>
              <w:rPr>
                <w:rFonts w:ascii="方正楷体_GBK" w:eastAsia="方正楷体_GBK"/>
                <w:sz w:val="32"/>
                <w:szCs w:val="32"/>
              </w:rPr>
            </w:pPr>
          </w:p>
        </w:tc>
        <w:tc>
          <w:tcPr>
            <w:tcW w:w="1543" w:type="dxa"/>
            <w:vAlign w:val="center"/>
          </w:tcPr>
          <w:p>
            <w:pPr>
              <w:pStyle w:val="49"/>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vAlign w:val="center"/>
          </w:tcPr>
          <w:p>
            <w:pPr>
              <w:pStyle w:val="49"/>
              <w:spacing w:line="0" w:lineRule="atLeast"/>
              <w:ind w:firstLineChars="300" w:firstLine="960"/>
              <w:rPr>
                <w:rFonts w:ascii="方正楷体_GBK" w:eastAsia="方正楷体_GBK"/>
                <w:sz w:val="32"/>
                <w:szCs w:val="32"/>
                <w:highlight w:val="yellow"/>
              </w:rPr>
            </w:pPr>
          </w:p>
        </w:tc>
      </w:tr>
    </w:tbl>
    <w:p>
      <w:pPr>
        <w:spacing w:line="560" w:lineRule="exact"/>
        <w:jc w:val="left"/>
        <w:rPr>
          <w:rFonts w:eastAsia="方正小标宋_GBK"/>
          <w:sz w:val="44"/>
          <w:szCs w:val="44"/>
        </w:rPr>
      </w:pPr>
    </w:p>
    <w:p>
      <w:pPr>
        <w:widowControl/>
        <w:jc w:val="left"/>
        <w:rPr>
          <w:rFonts w:ascii="Times New Roman" w:eastAsia="方正小标宋_GBK" w:hAnsi="Times New Roman"/>
          <w:sz w:val="44"/>
          <w:szCs w:val="44"/>
        </w:rPr>
      </w:pPr>
      <w:r>
        <w:rPr>
          <w:rFonts w:ascii="Times New Roman" w:eastAsia="方正小标宋_GBK" w:hAnsi="Times New Roman"/>
          <w:sz w:val="44"/>
          <w:szCs w:val="44"/>
        </w:rPr>
        <w:br w:type="page"/>
      </w:r>
    </w:p>
    <w:p>
      <w:pPr>
        <w:pStyle w:val="67"/>
        <w:widowControl/>
        <w:spacing w:line="560" w:lineRule="exact"/>
        <w:jc w:val="center"/>
        <w:rPr>
          <w:rFonts w:ascii="Times New Roman" w:eastAsia="方正小标宋_GBK" w:hAnsi="Times New Roman"/>
          <w:sz w:val="44"/>
          <w:szCs w:val="44"/>
        </w:rPr>
      </w:pPr>
    </w:p>
    <w:p>
      <w:pPr>
        <w:pStyle w:val="67"/>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24"/>
      </w:pPr>
    </w:p>
    <w:p>
      <w:pPr>
        <w:pStyle w:val="68"/>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69"/>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70"/>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7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7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7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7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7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7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7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73"/>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15"/>
        <w:rPr>
          <w:rFonts w:eastAsia="方正小标宋_GBK"/>
          <w:sz w:val="28"/>
          <w:szCs w:val="28"/>
        </w:rPr>
      </w:pPr>
    </w:p>
    <w:p>
      <w:pPr>
        <w:pStyle w:val="15"/>
        <w:rPr>
          <w:rFonts w:eastAsia="方正小标宋_GBK"/>
          <w:sz w:val="28"/>
          <w:szCs w:val="28"/>
        </w:rPr>
      </w:pPr>
    </w:p>
    <w:p>
      <w:pPr>
        <w:pStyle w:val="15"/>
        <w:rPr>
          <w:rFonts w:eastAsia="方正小标宋_GBK"/>
          <w:sz w:val="28"/>
          <w:szCs w:val="28"/>
        </w:rPr>
      </w:pPr>
    </w:p>
    <w:p>
      <w:pPr>
        <w:widowControl/>
        <w:spacing w:line="560" w:lineRule="exact"/>
        <w:jc w:val="left"/>
      </w:pPr>
      <w:r>
        <w:rPr>
          <w:rFonts w:ascii="Times New Roman" w:eastAsia="方正小标宋_GBK" w:hAnsi="Times New Roman"/>
          <w:sz w:val="28"/>
          <w:szCs w:val="28"/>
        </w:rPr>
        <w:t>以下内容企业填写</w:t>
      </w:r>
    </w:p>
    <w:tbl>
      <w:tblPr>
        <w:jc w:val="left"/>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995"/>
        <w:gridCol w:w="6828"/>
      </w:tblGrid>
      <w:tr>
        <w:trPr>
          <w:trHeight w:val="965"/>
        </w:trPr>
        <w:tc>
          <w:tcPr>
            <w:tcW w:w="1995" w:type="dxa"/>
            <w:tcBorders>
              <w:top w:val="single" w:sz="4" w:space="0" w:color="auto"/>
              <w:left w:val="single" w:sz="4" w:space="0" w:color="auto"/>
              <w:bottom w:val="single" w:sz="4" w:space="0" w:color="auto"/>
              <w:right w:val="single" w:sz="4" w:space="0" w:color="auto"/>
            </w:tcBorders>
            <w:vAlign w:val="center"/>
          </w:tcPr>
          <w:p>
            <w:pPr>
              <w:pStyle w:val="50"/>
              <w:spacing w:line="400" w:lineRule="exac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8" w:type="dxa"/>
            <w:tcBorders>
              <w:top w:val="single" w:sz="4" w:space="0" w:color="auto"/>
              <w:left w:val="single" w:sz="4" w:space="0" w:color="auto"/>
              <w:bottom w:val="single" w:sz="4" w:space="0" w:color="auto"/>
              <w:right w:val="single" w:sz="4" w:space="0" w:color="auto"/>
            </w:tcBorders>
            <w:vAlign w:val="center"/>
          </w:tcPr>
          <w:p>
            <w:pPr>
              <w:pStyle w:val="51"/>
              <w:spacing w:line="0" w:lineRule="atLeast"/>
              <w:rPr>
                <w:rFonts w:eastAsia="方正仿宋_GBK"/>
                <w:sz w:val="28"/>
              </w:rPr>
            </w:pPr>
          </w:p>
        </w:tc>
      </w:tr>
      <w:tr>
        <w:trPr>
          <w:trHeight w:val="761"/>
        </w:trPr>
        <w:tc>
          <w:tcPr>
            <w:tcW w:w="1995" w:type="dxa"/>
            <w:tcBorders>
              <w:top w:val="single" w:sz="4" w:space="0" w:color="auto"/>
              <w:left w:val="single" w:sz="4" w:space="0" w:color="auto"/>
              <w:bottom w:val="single" w:sz="4" w:space="0" w:color="auto"/>
              <w:right w:val="single" w:sz="4" w:space="0" w:color="auto"/>
            </w:tcBorders>
            <w:vAlign w:val="center"/>
          </w:tcPr>
          <w:p>
            <w:pPr>
              <w:pStyle w:val="52"/>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8" w:type="dxa"/>
            <w:tcBorders>
              <w:top w:val="single" w:sz="4" w:space="0" w:color="auto"/>
              <w:left w:val="single" w:sz="4" w:space="0" w:color="auto"/>
              <w:bottom w:val="single" w:sz="4" w:space="0" w:color="auto"/>
              <w:right w:val="single" w:sz="4" w:space="0" w:color="auto"/>
            </w:tcBorders>
            <w:vAlign w:val="center"/>
          </w:tcPr>
          <w:p>
            <w:pPr>
              <w:pStyle w:val="53"/>
              <w:spacing w:line="480" w:lineRule="exact"/>
              <w:rPr>
                <w:rFonts w:eastAsia="方正仿宋_GBK"/>
                <w:sz w:val="28"/>
              </w:rPr>
            </w:pPr>
          </w:p>
        </w:tc>
      </w:tr>
      <w:tr>
        <w:trPr>
          <w:trHeight w:val="766"/>
        </w:trPr>
        <w:tc>
          <w:tcPr>
            <w:tcW w:w="1995" w:type="dxa"/>
            <w:tcBorders>
              <w:top w:val="single" w:sz="4" w:space="0" w:color="auto"/>
              <w:left w:val="single" w:sz="4" w:space="0" w:color="auto"/>
              <w:bottom w:val="single" w:sz="4" w:space="0" w:color="auto"/>
              <w:right w:val="single" w:sz="4" w:space="0" w:color="auto"/>
            </w:tcBorders>
            <w:vAlign w:val="center"/>
          </w:tcPr>
          <w:p>
            <w:pPr>
              <w:pStyle w:val="54"/>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8" w:type="dxa"/>
            <w:tcBorders>
              <w:top w:val="single" w:sz="4" w:space="0" w:color="auto"/>
              <w:left w:val="single" w:sz="4" w:space="0" w:color="auto"/>
              <w:bottom w:val="single" w:sz="4" w:space="0" w:color="auto"/>
              <w:right w:val="single" w:sz="4" w:space="0" w:color="auto"/>
            </w:tcBorders>
            <w:vAlign w:val="center"/>
          </w:tcPr>
          <w:p>
            <w:pPr>
              <w:pStyle w:val="55"/>
              <w:spacing w:line="480" w:lineRule="exact"/>
              <w:rPr>
                <w:rFonts w:ascii="Times New Roman" w:hAnsi="Times New Roman"/>
              </w:rPr>
            </w:pPr>
          </w:p>
        </w:tc>
      </w:tr>
      <w:tr>
        <w:tc>
          <w:tcPr>
            <w:tcW w:w="8823" w:type="dxa"/>
            <w:gridSpan w:val="2"/>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（说明：在执行手账册生产经营情况，重点描述边角料、剩余料件、残次品、副产品和受灾保税货物情况，包括但不限于品名、规格、数量、不良品率和单耗情况等，可另附页。）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555"/>
              <w:rPr>
                <w:rFonts w:ascii="Times New Roman" w:eastAsia="方正仿宋_GBK" w:hAnsi="Times New Roman"/>
                <w:sz w:val="28"/>
                <w:szCs w:val="28"/>
              </w:rPr>
            </w:pPr>
            <w:r>
              <w:rPr>
                <w:rFonts w:ascii="Times New Roman" w:eastAsia="方正仿宋_GBK" w:hAnsi="Times New Roman" w:hint="eastAsia"/>
                <w:sz w:val="28"/>
                <w:szCs w:val="28"/>
              </w:rPr>
              <w:t>3．是否提供生产工艺流程：</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（说明：需提供企业工艺流程相关材料。）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4．是否复制提供与本次核查作业范围内货物有关的生产日报表：</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（说明：通过生产日报表、出入库记录核实本次核查作业范围内的货物是否存在产出、收集及账面库存情况，核实本次核查作业范围内货物的状态、名称、数量、规格型号等，提供相关材料。）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情况描述：____________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5．是否复制提供与本次核查作业范围内货物有关的库存记录：</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（说明：通过生产日报表、出入库记录核实本次核查作业范围内的货物是否存在产出、收集及账面库存情况，核实本次核查作业范围内货物的状态、名称、数量、规格型号等，提供相关材料。）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6．是否复制提供与本次核查作业范围内货物有关的财务账册、会计凭证：</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方正楷体_GBK" w:eastAsia="方正楷体_GBK" w:hint="eastAsia"/>
                <w:sz w:val="24"/>
                <w:szCs w:val="24"/>
              </w:rPr>
              <w:t>说明：调阅企业财务账册、会计凭证，说明本次核查作业范围内的货物是否存在销售收入，提供相关材料。</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7．是否盘点本次核查作业范围内的在库货物：</w:t>
            </w:r>
          </w:p>
          <w:p>
            <w:pPr>
              <w:spacing w:line="480" w:lineRule="exact"/>
              <w:ind w:firstLineChars="200" w:firstLine="560"/>
              <w:rPr>
                <w:rFonts w:ascii="方正楷体_GBK" w:eastAsia="方正楷体_GBK"/>
                <w:sz w:val="24"/>
                <w:szCs w:val="24"/>
              </w:rPr>
            </w:pPr>
            <w:r>
              <w:rPr>
                <w:rFonts w:ascii="方正楷体_GBK" w:eastAsia="方正楷体_GBK" w:hint="eastAsia"/>
                <w:sz w:val="28"/>
                <w:szCs w:val="28"/>
              </w:rPr>
              <w:t>（</w:t>
            </w:r>
            <w:r>
              <w:rPr>
                <w:rFonts w:ascii="方正楷体_GBK" w:eastAsia="方正楷体_GBK" w:hint="eastAsia"/>
                <w:sz w:val="24"/>
                <w:szCs w:val="24"/>
              </w:rPr>
              <w:t>说明：对本次核查作业范围内的边角料、剩余料件、残次品、副产品可以实地盘点数量；对涉及盘点货物数量大，无法短时间进行全面盘点可结合仓库记录征求海关意见选择抽样盘点，并填写《货物自查情况表》；若勾选“是”，提供相关材料。</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受灾保税货物如果能辨别品名、数量、规格型号的，应进行抽查或盘查，并并填写《货物自查情况表》；选择“否”，需提供相关原因的说明。</w:t>
            </w:r>
          </w:p>
          <w:p>
            <w:pPr>
              <w:spacing w:line="480" w:lineRule="exact"/>
              <w:ind w:firstLineChars="200" w:firstLine="480"/>
              <w:rPr>
                <w:rFonts w:ascii="方正楷体_GBK" w:eastAsia="方正楷体_GBK"/>
                <w:sz w:val="28"/>
                <w:szCs w:val="28"/>
              </w:rPr>
            </w:pPr>
            <w:r>
              <w:rPr>
                <w:rFonts w:ascii="方正楷体_GBK" w:eastAsia="方正楷体_GBK" w:hint="eastAsia"/>
                <w:sz w:val="24"/>
                <w:szCs w:val="24"/>
              </w:rPr>
              <w:t>如发现存在擅自处理边角料或残次品风险的，应对在库边角料或残次品进行盘点并填写《货物自查情况表》。）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方正仿宋_GBK" w:eastAsia="方正仿宋_GBK"/>
                <w:b/>
                <w:sz w:val="28"/>
                <w:szCs w:val="28"/>
              </w:rPr>
            </w:pPr>
          </w:p>
          <w:p>
            <w:pPr>
              <w:spacing w:line="480" w:lineRule="exact"/>
              <w:ind w:firstLineChars="200" w:firstLine="560"/>
              <w:rPr>
                <w:rFonts w:ascii="Times New Roman" w:eastAsia="方正仿宋_GBK" w:hAnsi="Times New Roman"/>
                <w:b/>
                <w:bCs/>
                <w:sz w:val="28"/>
                <w:szCs w:val="28"/>
              </w:rPr>
            </w:pPr>
            <w:r>
              <w:rPr>
                <w:rFonts w:ascii="方正仿宋_GBK" w:eastAsia="方正仿宋_GBK" w:hint="eastAsia"/>
                <w:b/>
                <w:sz w:val="28"/>
                <w:szCs w:val="28"/>
              </w:rPr>
              <w:t>边角料、</w:t>
            </w:r>
            <w:r>
              <w:rPr>
                <w:rFonts w:ascii="Times New Roman" w:eastAsia="方正仿宋_GBK" w:hAnsi="Times New Roman" w:hint="eastAsia"/>
                <w:b/>
                <w:bCs/>
                <w:sz w:val="28"/>
                <w:szCs w:val="28"/>
              </w:rPr>
              <w:t>残次品</w:t>
            </w:r>
            <w:r>
              <w:rPr>
                <w:rFonts w:ascii="方正仿宋_GBK" w:eastAsia="方正仿宋_GBK" w:hint="eastAsia"/>
                <w:b/>
                <w:sz w:val="28"/>
                <w:szCs w:val="28"/>
              </w:rPr>
              <w:t>：</w:t>
            </w:r>
            <w:r>
              <w:rPr>
                <w:rFonts w:ascii="Times New Roman" w:eastAsia="方正仿宋_GBK" w:hAnsi="Times New Roman" w:hint="eastAsia"/>
                <w:b/>
                <w:bCs/>
                <w:sz w:val="28"/>
                <w:szCs w:val="28"/>
              </w:rPr>
              <w:t>自查内容涉及边角料、残次品的，应填写第8- 17项：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8．是否提供企业边角料产生环节说明报告：</w:t>
            </w:r>
          </w:p>
          <w:p>
            <w:pPr>
              <w:spacing w:line="480" w:lineRule="exact"/>
              <w:ind w:firstLineChars="200" w:firstLine="560"/>
              <w:rPr>
                <w:rFonts w:ascii="方正楷体_GBK" w:eastAsia="方正楷体_GBK"/>
                <w:sz w:val="24"/>
                <w:szCs w:val="24"/>
              </w:rPr>
            </w:pPr>
            <w:r>
              <w:rPr>
                <w:rFonts w:ascii="Times New Roman" w:eastAsia="方正仿宋_GBK" w:hAnsi="Times New Roman" w:hint="eastAsia"/>
                <w:sz w:val="28"/>
                <w:szCs w:val="28"/>
              </w:rPr>
              <w:t>（</w:t>
            </w:r>
            <w:r>
              <w:rPr>
                <w:rFonts w:ascii="方正楷体_GBK" w:eastAsia="方正楷体_GBK" w:hint="eastAsia"/>
                <w:sz w:val="24"/>
                <w:szCs w:val="24"/>
              </w:rPr>
              <w:t>说明：说明企业合同损耗及实际生产损耗情况，可提交边角料产生环节详细说明报告。选项为“是”时，需提供说明报告，选项为“否”时，可采取其他方式说明生产工艺流程及边角料产生环节情况，并提供相关照片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     </w:t>
            </w:r>
          </w:p>
          <w:p>
            <w:p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 xml:space="preserve">    9．是否已将边角料销售或做其它处置：</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 xml:space="preserve">（说明：请提供关于边角料销售及处理情况的情况说明。）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b/>
                <w:sz w:val="28"/>
                <w:szCs w:val="28"/>
              </w:rPr>
              <w:t xml:space="preserve"> </w:t>
            </w:r>
            <w:r>
              <w:rPr>
                <w:rFonts w:ascii="Times New Roman" w:eastAsia="方正仿宋_GBK" w:hAnsi="Times New Roman" w:hint="eastAsia"/>
                <w:sz w:val="28"/>
                <w:szCs w:val="28"/>
              </w:rPr>
              <w:t>10．是否提供企业残次品相关的生产环节记录单证：</w:t>
            </w:r>
          </w:p>
          <w:p>
            <w:pPr>
              <w:spacing w:line="56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（说明：可提交残次品生产环节记录单证。若勾选 “是”，提供相关单证复印件等材料，若勾选“否”，可采取其他方式说明生产工艺流程及残次品生产环节记录情况，并提供相关照片材料。）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11．是否提供副产品产生情况说明及后续处理报告：</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（说明：请结合工艺环节，确认副产品的实际状态或是否实际产生，若勾选“是”， 需提供相关材料。）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情况描述：____________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12．否存在将残次品、副产品计入边角料的情形：</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（说明：若勾选“是”， 请提供相关材料。）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 边角料实际产生数量与申报是否相符：</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（说明：若勾选“是”， 请提供相关材料。如存在差异，应反馈存在差异的品名、数量、规格型号等情况，提供相关情况说明材料。）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14．剩余货物与底账是否相符：</w:t>
            </w:r>
          </w:p>
          <w:p>
            <w:pPr>
              <w:spacing w:line="56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（说明：比对库存剩余料件与的底账是否相符，如存在差异，应反馈存在差异的品名、数量、规格型号等情况，提供相关情况说明材料。）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15．残次品实际产生数量与申报是否相符：</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（说明：请提供实际残次品数量证明材料。如存在差异，应反馈存在差异的品名、数量、规格型号等情况，提供相关情况说明材料）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16．是否存在未向海关报备直接处理残次品情况：</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（说明：请提供关于残次品销售及处理情况的情况说明。）</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17. 是否残次品率是否超出生产计划：</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（说明：请提供计算残次品率的相关证明材料。）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w:t>
            </w:r>
          </w:p>
          <w:p>
            <w:pPr>
              <w:spacing w:line="480" w:lineRule="exact"/>
              <w:ind w:firstLineChars="200" w:firstLine="560"/>
              <w:rPr>
                <w:rFonts w:ascii="Times New Roman" w:eastAsia="方正仿宋_GBK" w:hAnsi="Times New Roman"/>
                <w:b/>
                <w:bCs/>
                <w:sz w:val="28"/>
                <w:szCs w:val="28"/>
              </w:rPr>
            </w:pP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b/>
                <w:bCs/>
                <w:sz w:val="28"/>
                <w:szCs w:val="28"/>
              </w:rPr>
              <w:t>副产品：自查内容涉及副产品的，应填写第18-22项：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18．是否产生副产品：</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（说明：如勾选“否”，19-22项勾选“不适用”。）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情况描述：____________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19．是否实际销售副产品：</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情况描述：____________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20．副产品品名与申报是否相符：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情况描述：____________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21．副产品销售数量与申报是否相符：</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 xml:space="preserve"> </w:t>
            </w: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情况描述：____________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22．副产品实际产生数量与申报是否相符：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情况描述：____________    </w:t>
            </w:r>
          </w:p>
          <w:p>
            <w:pPr>
              <w:spacing w:line="480" w:lineRule="exact"/>
              <w:ind w:firstLineChars="200" w:firstLine="560"/>
              <w:rPr>
                <w:rFonts w:ascii="Times New Roman" w:eastAsia="方正仿宋_GBK" w:hAnsi="Times New Roman"/>
                <w:sz w:val="28"/>
                <w:szCs w:val="28"/>
              </w:rPr>
            </w:pPr>
          </w:p>
          <w:p>
            <w:pPr>
              <w:spacing w:line="480" w:lineRule="exact"/>
              <w:ind w:firstLineChars="200" w:firstLine="560"/>
              <w:rPr>
                <w:rFonts w:ascii="Times New Roman" w:eastAsia="方正仿宋_GBK" w:hAnsi="Times New Roman"/>
                <w:b/>
                <w:sz w:val="28"/>
                <w:szCs w:val="28"/>
                <w:highlight w:val="yellow"/>
              </w:rPr>
            </w:pPr>
            <w:r>
              <w:rPr>
                <w:rFonts w:ascii="Times New Roman" w:eastAsia="方正仿宋_GBK" w:hAnsi="Times New Roman" w:hint="eastAsia"/>
                <w:b/>
                <w:sz w:val="28"/>
                <w:szCs w:val="28"/>
              </w:rPr>
              <w:t>受灾保税货物：自查内容涉及受灾保税货物的，应填写第23-30项：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23.是否保存受灾现场及受灾保税货物有关的影像资料：</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（说明：请提供与</w:t>
            </w:r>
            <w:r>
              <w:rPr>
                <w:rFonts w:ascii="Times New Roman" w:eastAsia="方正仿宋_GBK" w:hAnsi="Times New Roman" w:hint="eastAsia"/>
                <w:sz w:val="24"/>
                <w:szCs w:val="24"/>
              </w:rPr>
              <w:t>受灾现场</w:t>
            </w:r>
            <w:r>
              <w:rPr>
                <w:rFonts w:ascii="Times New Roman" w:eastAsia="方正仿宋_GBK" w:hAnsi="Times New Roman" w:hint="eastAsia"/>
                <w:sz w:val="28"/>
                <w:szCs w:val="28"/>
              </w:rPr>
              <w:t>、</w:t>
            </w:r>
            <w:r>
              <w:rPr>
                <w:rFonts w:ascii="方正楷体_GBK" w:eastAsia="方正楷体_GBK" w:hint="eastAsia"/>
                <w:sz w:val="24"/>
                <w:szCs w:val="24"/>
              </w:rPr>
              <w:t>受灾保税货物有关的影像资料、如：受灾过程摄像记录、受灾情况照片等。）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24．是否提供反映受灾过程和受灾保税货物的书面记录：</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（说明：复制提供与受灾情况有关的书面记录，如会议记录、应急处置方案、受灾保税货物明细表等。）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25．是否提供与受灾过程和受灾保税货物有关情况的说明：</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（说明：提供企业对受灾过程和受灾保税货物详细情况书面报告。）</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26．是否提供公安、消防部门或保险公司等相关机构出具的受灾保税货物证明材料：</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（说明：复制提供公安、消防部门或保险公司等第三方出具的受灾保税货物证明材料。）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情况描述:____________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27．企业受灾现场情况与企业向海关报告情况是否相符：</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（说明：根据上述核查动作判定相关情况是否与企业向海关报告情况相符。选择“否”，需提供相关原因说明。无法核实或无第三方证明的，应选择“不适用”。）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28．企业受灾过程的书面记录与企业报告情况是否相符：</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（说明：根据上述核查动作判定相关情况是否与企业向海关报告情况相符。选择“否”，需提供相关原因说明。无法核实或无第三方证明的，应选择“不适用”。）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29．第三方证明材料与企业报告情况是否相符：</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（说明：根据上述核查动作判定相关情况是否与企业向海关报告情况相符。选择“否”，需提供相关原因说明。无法核实或无第三方证明的，应选择“不适用”。）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30．受灾保税货物品名、数量、规格型号与企业报告情况是否相符：</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（说明：根据上述核查动作判定相关情况是否与企业向海关报告情况相符。选择“否”，请说明相关原因。无法核实或无第三方证明的，应选择“不适用”。）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情况描述:____________</w:t>
            </w:r>
          </w:p>
          <w:p>
            <w:pPr>
              <w:spacing w:line="480" w:lineRule="exact"/>
              <w:rPr>
                <w:rFonts w:ascii="Times New Roman" w:eastAsia="方正仿宋_GBK" w:hAnsi="Times New Roman"/>
                <w:sz w:val="28"/>
                <w:szCs w:val="28"/>
              </w:rPr>
            </w:pPr>
          </w:p>
        </w:tc>
      </w:tr>
      <w:tr>
        <w:trPr>
          <w:trHeight w:val="936"/>
        </w:trPr>
        <w:tc>
          <w:tcPr>
            <w:tcW w:w="8823" w:type="dxa"/>
            <w:gridSpan w:val="2"/>
          </w:tcPr>
          <w:p>
            <w:pPr>
              <w:pStyle w:val="168"/>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5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5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5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pStyle w:val="55"/>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p>
          <w:p>
            <w:pPr>
              <w:pStyle w:val="55"/>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以上材料共　页</w:t>
            </w:r>
          </w:p>
        </w:tc>
      </w:tr>
      <w:tr>
        <w:trPr>
          <w:trHeight w:val="109"/>
        </w:trPr>
        <w:tc>
          <w:tcPr>
            <w:tcW w:w="8823" w:type="dxa"/>
            <w:gridSpan w:val="2"/>
          </w:tcPr>
          <w:p>
            <w:pPr>
              <w:pStyle w:val="54"/>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三、自查结果：</w:t>
            </w:r>
          </w:p>
          <w:p>
            <w:pPr>
              <w:pStyle w:val="5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54"/>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54"/>
              <w:spacing w:line="480" w:lineRule="exact"/>
              <w:ind w:firstLineChars="200" w:firstLine="560"/>
              <w:rPr>
                <w:rFonts w:ascii="Times New Roman" w:eastAsia="方正仿宋_GBK" w:hAnsi="Times New Roman"/>
                <w:sz w:val="28"/>
              </w:rPr>
            </w:pPr>
          </w:p>
          <w:p>
            <w:pPr>
              <w:pStyle w:val="54"/>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54"/>
              <w:spacing w:line="480" w:lineRule="exact"/>
              <w:jc w:val="left"/>
              <w:rPr>
                <w:rFonts w:ascii="Times New Roman" w:eastAsia="方正仿宋_GBK" w:hAnsi="Times New Roman"/>
                <w:sz w:val="28"/>
              </w:rPr>
            </w:pPr>
          </w:p>
          <w:p>
            <w:pPr>
              <w:pStyle w:val="54"/>
              <w:spacing w:line="480" w:lineRule="exact"/>
              <w:jc w:val="left"/>
              <w:rPr>
                <w:rFonts w:ascii="Times New Roman" w:eastAsia="方正仿宋_GBK" w:hAnsi="Times New Roman"/>
                <w:sz w:val="28"/>
              </w:rPr>
            </w:pPr>
          </w:p>
          <w:p>
            <w:pPr>
              <w:pStyle w:val="54"/>
              <w:spacing w:line="480" w:lineRule="exact"/>
              <w:jc w:val="left"/>
              <w:rPr>
                <w:rFonts w:ascii="Times New Roman" w:eastAsia="方正仿宋_GBK" w:hAnsi="Times New Roman"/>
                <w:sz w:val="28"/>
              </w:rPr>
            </w:pPr>
          </w:p>
          <w:p>
            <w:pPr>
              <w:pStyle w:val="54"/>
              <w:spacing w:line="480" w:lineRule="exact"/>
              <w:jc w:val="left"/>
              <w:rPr>
                <w:rFonts w:ascii="Times New Roman" w:eastAsia="方正仿宋_GBK" w:hAnsi="Times New Roman"/>
                <w:sz w:val="28"/>
              </w:rPr>
            </w:pPr>
            <w:r>
              <w:rPr>
                <w:rFonts w:ascii="Times New Roman" w:eastAsia="方正仿宋_GBK" w:hAnsi="Times New Roman" w:hint="eastAsia"/>
                <w:sz w:val="28"/>
              </w:rPr>
              <w:t>（可另附企业自查情况说明资料）</w:t>
            </w:r>
          </w:p>
        </w:tc>
      </w:tr>
      <w:tr>
        <w:trPr>
          <w:trHeight w:val="3260"/>
        </w:trPr>
        <w:tc>
          <w:tcPr>
            <w:tcW w:w="8823" w:type="dxa"/>
            <w:gridSpan w:val="2"/>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主要负责人</w:t>
            </w:r>
            <w:r>
              <w:rPr>
                <w:rFonts w:ascii="Times New Roman" w:eastAsia="方正仿宋_GBK" w:hAnsi="Times New Roman"/>
                <w:sz w:val="28"/>
                <w:szCs w:val="28"/>
              </w:rPr>
              <w:t>（签名）：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center"/>
              <w:rPr>
                <w:rFonts w:ascii="Times New Roman" w:eastAsia="方正仿宋_GBK" w:hAnsi="Times New Roman"/>
                <w:sz w:val="28"/>
                <w:szCs w:val="28"/>
              </w:rPr>
            </w:pPr>
            <w:r>
              <w:rPr>
                <w:rFonts w:ascii="Times New Roman" w:eastAsia="方正仿宋_GBK" w:hAnsi="Times New Roman" w:hint="eastAsia"/>
                <w:sz w:val="28"/>
                <w:szCs w:val="28"/>
              </w:rPr>
              <w:t xml:space="preserve">                                         （公章）</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601"/>
        </w:trPr>
        <w:tc>
          <w:tcPr>
            <w:tcW w:w="8823" w:type="dxa"/>
            <w:gridSpan w:val="2"/>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jc w:val="left"/>
              <w:rPr>
                <w:rFonts w:ascii="Times New Roman" w:eastAsia="方正仿宋_GBK" w:hAnsi="Times New Roman"/>
                <w:sz w:val="28"/>
                <w:szCs w:val="28"/>
              </w:rPr>
            </w:pPr>
          </w:p>
        </w:tc>
      </w:tr>
    </w:tbl>
    <w:p>
      <w:pPr>
        <w:pStyle w:val="57"/>
        <w:spacing w:line="600" w:lineRule="exact"/>
        <w:jc w:val="center"/>
        <w:rPr>
          <w:rFonts w:ascii="方正小标宋_GBK" w:eastAsia="方正小标宋_GBK" w:cs="宋体"/>
          <w:sz w:val="44"/>
          <w:szCs w:val="44"/>
          <w:lang w:eastAsia="zh-CN"/>
        </w:rPr>
      </w:pPr>
    </w:p>
    <w:p>
      <w:pPr>
        <w:pStyle w:val="57"/>
        <w:spacing w:line="600" w:lineRule="exact"/>
        <w:jc w:val="center"/>
        <w:rPr>
          <w:rFonts w:ascii="方正小标宋_GBK" w:eastAsia="方正小标宋_GBK" w:cs="宋体"/>
          <w:sz w:val="44"/>
          <w:szCs w:val="44"/>
          <w:lang w:eastAsia="zh-CN"/>
        </w:rPr>
      </w:pPr>
    </w:p>
    <w:p>
      <w:pPr>
        <w:pStyle w:val="22"/>
        <w:spacing w:line="600" w:lineRule="exact"/>
        <w:jc w:val="both"/>
      </w:pPr>
    </w:p>
    <w:p>
      <w:pPr>
        <w:spacing w:line="600" w:lineRule="exact"/>
      </w:pPr>
    </w:p>
    <w:p>
      <w:pPr>
        <w:spacing w:line="600" w:lineRule="exact"/>
      </w:pPr>
    </w:p>
    <w:p>
      <w:pPr>
        <w:spacing w:line="600" w:lineRule="exact"/>
      </w:pPr>
    </w:p>
    <w:p>
      <w:pPr>
        <w:rPr>
          <w:sz w:val="32"/>
          <w:szCs w:val="32"/>
        </w:rPr>
      </w:pPr>
      <w:r>
        <w:rPr>
          <w:sz w:val="32"/>
          <w:szCs w:val="32"/>
        </w:rPr>
        <w:t>附件</w:t>
      </w:r>
      <w:r>
        <w:rPr>
          <w:rFonts w:hint="eastAsia"/>
          <w:sz w:val="32"/>
          <w:szCs w:val="32"/>
        </w:rPr>
        <w:t>：</w:t>
      </w:r>
    </w:p>
    <w:p>
      <w:pPr>
        <w:pStyle w:val="57"/>
        <w:spacing w:line="600" w:lineRule="exact"/>
        <w:jc w:val="center"/>
        <w:rPr>
          <w:rFonts w:ascii="方正小标宋_GBK" w:eastAsia="方正小标宋_GBK" w:cs="宋体"/>
          <w:sz w:val="44"/>
          <w:szCs w:val="44"/>
          <w:lang w:eastAsia="zh-CN"/>
        </w:rPr>
      </w:pPr>
      <w:r>
        <w:rPr>
          <w:rFonts w:ascii="方正小标宋_GBK" w:eastAsia="方正小标宋_GBK" w:cs="宋体"/>
          <w:sz w:val="44"/>
          <w:szCs w:val="44"/>
          <w:lang w:eastAsia="zh-CN"/>
        </w:rPr>
        <w:t>货物自查</w:t>
      </w:r>
      <w:r>
        <w:rPr>
          <w:rFonts w:ascii="方正小标宋_GBK" w:eastAsia="方正小标宋_GBK" w:cs="宋体" w:hint="eastAsia"/>
          <w:sz w:val="44"/>
          <w:szCs w:val="44"/>
          <w:lang w:eastAsia="zh-CN"/>
        </w:rPr>
        <w:t>情况表</w:t>
      </w:r>
    </w:p>
    <w:p>
      <w:pPr>
        <w:pStyle w:val="57"/>
        <w:spacing w:line="600" w:lineRule="exact"/>
        <w:jc w:val="center"/>
        <w:rPr>
          <w:lang w:eastAsia="zh-CN"/>
        </w:rPr>
      </w:pPr>
    </w:p>
    <w:p>
      <w:pPr>
        <w:pStyle w:val="57"/>
        <w:spacing w:line="600" w:lineRule="exact"/>
        <w:rPr>
          <w:rFonts w:ascii="方正仿宋_GBK" w:eastAsia="方正仿宋_GBK" w:cs="宋体"/>
          <w:szCs w:val="22"/>
          <w:lang w:eastAsia="zh-CN"/>
        </w:rPr>
      </w:pPr>
    </w:p>
    <w:tbl>
      <w:tblPr>
        <w:jc w:val="left"/>
        <w:tblInd w:w="-521" w:type="dxa"/>
        <w:tblW w:w="10127" w:type="dxa"/>
        <w:tblBorders>
          <w:top w:val="single" w:sz="8" w:space="0" w:color="auto"/>
          <w:left w:val="single" w:sz="8" w:space="0" w:color="auto"/>
          <w:bottom w:val="single" w:sz="8" w:space="0" w:color="auto"/>
          <w:right w:val="single" w:sz="8" w:space="0" w:color="auto"/>
          <w:insideH w:val="outset" w:sz="6" w:space="0" w:color="auto"/>
          <w:insideV w:val="outset" w:sz="6" w:space="0" w:color="auto"/>
        </w:tblBorders>
        <w:tblLayout w:type="fixed"/>
        <w:tblCellMar>
          <w:top w:w="0" w:type="dxa"/>
          <w:left w:w="108" w:type="dxa"/>
          <w:bottom w:w="0" w:type="dxa"/>
          <w:right w:w="108" w:type="dxa"/>
        </w:tblCellMar>
      </w:tblPr>
      <w:tblGrid>
        <w:gridCol w:w="2357"/>
        <w:gridCol w:w="1256"/>
        <w:gridCol w:w="1245"/>
        <w:gridCol w:w="1158"/>
        <w:gridCol w:w="1417"/>
        <w:gridCol w:w="1418"/>
        <w:gridCol w:w="1276"/>
      </w:tblGrid>
      <w:tr>
        <w:trPr>
          <w:trHeight w:val="563"/>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b/>
                <w:bCs/>
                <w:sz w:val="28"/>
                <w:szCs w:val="28"/>
                <w:lang w:eastAsia="zh-CN"/>
              </w:rPr>
            </w:pPr>
            <w:r>
              <w:rPr>
                <w:rFonts w:ascii="方正仿宋_GBK" w:eastAsia="方正仿宋_GBK" w:cs="宋体"/>
                <w:b/>
                <w:bCs/>
                <w:sz w:val="28"/>
                <w:szCs w:val="28"/>
              </w:rPr>
              <w:t>货物</w:t>
            </w:r>
            <w:r>
              <w:rPr>
                <w:rFonts w:ascii="方正仿宋_GBK" w:eastAsia="方正仿宋_GBK" w:cs="宋体" w:hint="eastAsia"/>
                <w:b/>
                <w:bCs/>
                <w:sz w:val="28"/>
                <w:szCs w:val="28"/>
              </w:rPr>
              <w:t>名称</w:t>
            </w: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b/>
                <w:bCs/>
                <w:sz w:val="28"/>
                <w:szCs w:val="28"/>
                <w:lang w:eastAsia="zh-CN"/>
              </w:rPr>
            </w:pPr>
            <w:r>
              <w:rPr>
                <w:rFonts w:ascii="方正仿宋_GBK" w:eastAsia="方正仿宋_GBK" w:cs="宋体" w:hint="eastAsia"/>
                <w:b/>
                <w:bCs/>
                <w:sz w:val="28"/>
                <w:szCs w:val="28"/>
              </w:rPr>
              <w:t>规格</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b/>
                <w:bCs/>
                <w:sz w:val="28"/>
                <w:szCs w:val="28"/>
                <w:lang w:eastAsia="zh-CN"/>
              </w:rPr>
            </w:pPr>
            <w:r>
              <w:rPr>
                <w:rFonts w:ascii="方正仿宋_GBK" w:eastAsia="方正仿宋_GBK" w:cs="宋体"/>
                <w:b/>
                <w:bCs/>
                <w:sz w:val="28"/>
                <w:szCs w:val="28"/>
              </w:rPr>
              <w:t>数量</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rPr>
              <w:t>单位</w:t>
            </w: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b/>
                <w:bCs/>
                <w:sz w:val="28"/>
                <w:szCs w:val="28"/>
                <w:lang w:eastAsia="zh-CN"/>
              </w:rPr>
            </w:pPr>
            <w:r>
              <w:rPr>
                <w:rFonts w:ascii="方正仿宋_GBK" w:eastAsia="方正仿宋_GBK" w:cs="宋体" w:hint="eastAsia"/>
                <w:b/>
                <w:bCs/>
                <w:sz w:val="28"/>
                <w:szCs w:val="28"/>
                <w:lang w:eastAsia="zh-CN"/>
              </w:rPr>
              <w:t>贸易</w:t>
            </w:r>
            <w:r>
              <w:rPr>
                <w:rFonts w:ascii="方正仿宋_GBK" w:eastAsia="方正仿宋_GBK" w:cs="宋体"/>
                <w:b/>
                <w:bCs/>
                <w:sz w:val="28"/>
                <w:szCs w:val="28"/>
              </w:rPr>
              <w:t>性质</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lang w:eastAsia="zh-CN"/>
              </w:rPr>
              <w:t>状态</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lang w:eastAsia="zh-CN"/>
              </w:rPr>
              <w:t>备注</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textDirection w:val="tbRlV"/>
            <w:vAlign w:val="center"/>
          </w:tcPr>
          <w:p>
            <w:pPr>
              <w:pStyle w:val="57"/>
              <w:spacing w:line="600" w:lineRule="exact"/>
              <w:jc w:val="center"/>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jc w:val="center"/>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jc w:val="center"/>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jc w:val="center"/>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633"/>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textDirection w:val="tbRlV"/>
            <w:vAlign w:val="center"/>
          </w:tcPr>
          <w:p>
            <w:pPr>
              <w:pStyle w:val="57"/>
              <w:spacing w:line="600" w:lineRule="exact"/>
              <w:jc w:val="center"/>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57"/>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57"/>
              <w:spacing w:line="600" w:lineRule="exact"/>
              <w:rPr>
                <w:rFonts w:ascii="方正仿宋_GBK" w:eastAsia="方正仿宋_GBK" w:cs="宋体"/>
                <w:szCs w:val="22"/>
              </w:rPr>
            </w:pPr>
            <w:r>
              <w:rPr>
                <w:rFonts w:ascii="方正仿宋_GBK" w:eastAsia="方正仿宋_GBK" w:cs="宋体" w:hint="eastAsia"/>
                <w:szCs w:val="22"/>
              </w:rPr>
              <w:t>　</w:t>
            </w:r>
          </w:p>
        </w:tc>
      </w:tr>
    </w:tbl>
    <w:p>
      <w:pPr>
        <w:pStyle w:val="16"/>
        <w:ind w:left="0"/>
        <w:rPr>
          <w:rFonts w:ascii="方正仿宋_GBK" w:eastAsia="方正仿宋_GBK" w:cs="宋体"/>
          <w:kern w:val="0"/>
          <w:sz w:val="32"/>
          <w:szCs w:val="32"/>
        </w:rPr>
      </w:pPr>
      <w:r>
        <w:rPr>
          <w:rFonts w:ascii="方正仿宋_GBK" w:eastAsia="方正仿宋_GBK" w:cs="宋体" w:hint="eastAsia"/>
          <w:kern w:val="0"/>
          <w:sz w:val="32"/>
          <w:szCs w:val="32"/>
        </w:rPr>
        <w:t>随附</w:t>
      </w:r>
      <w:r>
        <w:rPr>
          <w:rFonts w:ascii="方正仿宋_GBK" w:eastAsia="方正仿宋_GBK" w:cs="宋体"/>
          <w:kern w:val="0"/>
          <w:sz w:val="32"/>
          <w:szCs w:val="32"/>
          <w:lang w:eastAsia="en-US"/>
        </w:rPr>
        <w:t>资料共</w:t>
      </w:r>
      <w:r>
        <w:rPr>
          <w:rFonts w:ascii="方正仿宋_GBK" w:eastAsia="方正仿宋_GBK" w:cs="宋体" w:hint="eastAsia"/>
          <w:kern w:val="0"/>
          <w:sz w:val="32"/>
          <w:szCs w:val="32"/>
        </w:rPr>
        <w:t xml:space="preserve">   页。</w:t>
      </w:r>
    </w:p>
    <w:p/>
    <w:p>
      <w:pPr>
        <w:rPr>
          <w:rFonts w:ascii="方正仿宋_GBK" w:eastAsia="方正仿宋_GBK" w:cs="宋体"/>
          <w:kern w:val="0"/>
          <w:sz w:val="32"/>
          <w:szCs w:val="32"/>
        </w:rPr>
      </w:pPr>
      <w:r>
        <w:rPr>
          <w:rFonts w:ascii="方正仿宋_GBK" w:eastAsia="方正仿宋_GBK" w:cs="宋体"/>
          <w:kern w:val="0"/>
          <w:sz w:val="32"/>
          <w:szCs w:val="32"/>
        </w:rPr>
        <w:t>检查场所负责人签名</w:t>
      </w:r>
      <w:r>
        <w:rPr>
          <w:rFonts w:ascii="方正仿宋_GBK" w:eastAsia="方正仿宋_GBK" w:cs="宋体" w:hint="eastAsia"/>
          <w:kern w:val="0"/>
          <w:sz w:val="32"/>
          <w:szCs w:val="32"/>
        </w:rPr>
        <w:t>：</w:t>
      </w:r>
    </w:p>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altName w:val="Microsoft YaHei UI"/>
    <w:panose1 w:val="03000509000000000000"/>
    <w:charset w:val="86"/>
    <w:family w:val="script"/>
    <w:pitch w:val="variable"/>
    <w:sig w:usb0="00000001" w:usb1="080E0000" w:usb2="00000010" w:usb3="00000000" w:csb0="00040000" w:csb1="00000000"/>
  </w:font>
  <w:font w:name="方正楷体_GBK">
    <w:altName w:val="Microsoft YaHei UI"/>
    <w:panose1 w:val="03000509000000000000"/>
    <w:charset w:val="86"/>
    <w:family w:val="script"/>
    <w:pitch w:val="variable"/>
    <w:sig w:usb0="00000001" w:usb1="080E0000" w:usb2="00000010" w:usb3="00000000" w:csb0="00040000" w:csb1="00000000"/>
  </w:font>
  <w:font w:name="方正仿宋_GBK">
    <w:altName w:val="Microsoft YaHei UI"/>
    <w:panose1 w:val="03000509000000000000"/>
    <w:charset w:val="86"/>
    <w:family w:val="script"/>
    <w:pitch w:val="variable"/>
    <w:sig w:usb0="00000001" w:usb1="080E0000" w:usb2="00000010" w:usb3="00000000" w:csb0="00040000" w:csb1="00000000"/>
  </w:font>
  <w:font w:name="方正黑体_GBK">
    <w:altName w:val="Microsoft YaHei UI"/>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xi Sans">
    <w:altName w:val="Times New Roman"/>
    <w:panose1 w:val="00000000000000000000"/>
    <w:charset w:val="00"/>
    <w:family w:val="auto"/>
    <w:pitch w:val="variable"/>
  </w:font>
  <w:font w:name="黑体">
    <w:altName w:val="SimHei"/>
    <w:panose1 w:val="02010609060101010101"/>
    <w:charset w:val="86"/>
    <w:family w:val="modern"/>
    <w:pitch w:val="variable"/>
    <w:sig w:usb0="800002BF" w:usb1="38CF7CFA" w:usb2="00000016" w:usb3="00000000" w:csb0="00040001" w:csb1="00000000"/>
  </w:font>
  <w:font w:name="方正仿宋简体">
    <w:altName w:val="Times New Roman"/>
    <w:panose1 w:val="00000000000000000000"/>
    <w:charset w:val="00"/>
    <w:family w:val="auto"/>
    <w:pitch w:val="variable"/>
  </w:font>
  <w:font w:name="Courier New">
    <w:panose1 w:val="02070409020205090404"/>
    <w:charset w:val="00"/>
    <w:family w:val="auto"/>
    <w:pitch w:val="variable"/>
    <w:sig w:usb0="00007A87" w:usb1="80000000" w:usb2="00000008" w:usb3="00000000" w:csb0="400001FF" w:csb1="FFFF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08C0770"/>
    <w:multiLevelType w:val="singleLevel"/>
    <w:tmpl w:val="E5224957"/>
    <w:lvl w:ilvl="0">
      <w:start w:val="1"/>
      <w:numFmt w:val="bullet"/>
      <w:lvlRestart w:val="0"/>
      <w:pStyle w:val="17"/>
      <w:lvlText w:val=""/>
      <w:lvlJc w:val="left"/>
      <w:pPr>
        <w:ind w:left="360" w:hanging="360"/>
      </w:pPr>
      <w:rPr>
        <w:rFonts w:ascii="Wingdings" w:hAnsi="Wingdings" w:hint="default"/>
      </w:rPr>
    </w:lvl>
  </w:abstractNum>
  <w:abstractNum w:abstractNumId="1">
    <w:nsid w:val="0FFFFF88"/>
    <w:multiLevelType w:val="singleLevel"/>
    <w:tmpl w:val="00000000"/>
    <w:lvl w:ilvl="0">
      <w:start w:val="1"/>
      <w:numFmt w:val="decimal"/>
      <w:lvlRestart w:val="0"/>
      <w:pStyle w:val="49"/>
      <w:lvlText w:val="%1."/>
      <w:lvlJc w:val="left"/>
      <w:pPr>
        <w:tabs>
          <w:tab w:val="num" w:pos="360"/>
        </w:tabs>
        <w:ind w:left="360" w:hanging="360"/>
      </w:p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ZGYyZjhjZGFkYjQ2ZGNjODIxOTM3Yzk4YjZlZWVhMGM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E-mail Signature"/>
    <w:pPr>
      <w:widowControl w:val="0"/>
      <w:jc w:val="both"/>
    </w:pPr>
    <w:rPr>
      <w:rFonts w:ascii="Times New Roman" w:eastAsia="宋体" w:cs="Times New Roman" w:hAnsi="Times New Roman"/>
      <w:kern w:val="2"/>
      <w:sz w:val="21"/>
      <w:szCs w:val="20"/>
      <w:lang w:val="en-US" w:eastAsia="zh-CN" w:bidi="ar-SA"/>
    </w:rPr>
  </w:style>
  <w:style w:type="paragraph" w:styleId="16">
    <w:name w:val="index 5"/>
    <w:basedOn w:val="0"/>
    <w:next w:val="0"/>
    <w:pPr>
      <w:ind w:left="1680"/>
    </w:pPr>
  </w:style>
  <w:style w:type="paragraph" w:styleId="17">
    <w:name w:val="List Bullet"/>
    <w:basedOn w:val="0"/>
    <w:pPr>
      <w:numPr>
        <w:ilvl w:val="0"/>
        <w:numId w:val="1"/>
      </w:numPr>
    </w:pPr>
  </w:style>
  <w:style w:type="paragraph" w:styleId="18">
    <w:name w:val="Balloon Text"/>
    <w:basedOn w:val="0"/>
    <w:rPr>
      <w:sz w:val="18"/>
      <w:szCs w:val="18"/>
    </w:rPr>
  </w:style>
  <w:style w:type="paragraph" w:styleId="19">
    <w:name w:val="footer"/>
    <w:basedOn w:val="0"/>
    <w:pPr>
      <w:tabs>
        <w:tab w:val="center" w:pos="4153"/>
        <w:tab w:val="right" w:pos="8306"/>
      </w:tabs>
      <w:snapToGrid w:val="0"/>
      <w:jc w:val="left"/>
    </w:pPr>
    <w:rPr>
      <w:sz w:val="18"/>
      <w:szCs w:val="18"/>
    </w:rPr>
  </w:style>
  <w:style w:type="paragraph" w:styleId="20">
    <w:name w:val="header"/>
    <w:basedOn w:val="0"/>
    <w:pPr>
      <w:pBdr>
        <w:bottom w:val="single" w:sz="6" w:space="1" w:color="auto"/>
      </w:pBdr>
      <w:tabs>
        <w:tab w:val="center" w:pos="4153"/>
        <w:tab w:val="right" w:pos="8306"/>
      </w:tabs>
      <w:snapToGrid w:val="0"/>
      <w:jc w:val="center"/>
    </w:pPr>
    <w:rPr>
      <w:sz w:val="18"/>
      <w:szCs w:val="18"/>
    </w:rPr>
  </w:style>
  <w:style w:type="paragraph" w:styleId="21">
    <w:name w:val="List"/>
    <w:basedOn w:val="0"/>
    <w:pPr>
      <w:ind w:left="200" w:hangingChars="200" w:hanging="200"/>
      <w:contextualSpacing/>
    </w:pPr>
  </w:style>
  <w:style w:type="paragraph" w:styleId="22">
    <w:name w:val="index 7"/>
    <w:basedOn w:val="0"/>
    <w:next w:val="0"/>
    <w:pPr>
      <w:ind w:leftChars="1200" w:left="1200"/>
    </w:pPr>
  </w:style>
  <w:style w:type="paragraph" w:customStyle="1" w:styleId="23">
    <w:name w:val="样式 10 磅"/>
    <w:next w:val="24"/>
    <w:pPr>
      <w:widowControl w:val="0"/>
      <w:jc w:val="both"/>
    </w:pPr>
    <w:rPr>
      <w:rFonts w:ascii="Calibri" w:eastAsia="宋体" w:cs="Arial" w:hAnsi="Calibri"/>
      <w:kern w:val="2"/>
      <w:sz w:val="21"/>
      <w:szCs w:val="22"/>
      <w:lang w:val="en-US" w:eastAsia="zh-CN" w:bidi="ar-SA"/>
    </w:rPr>
  </w:style>
  <w:style w:type="paragraph" w:customStyle="1" w:styleId="24">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25">
    <w:name w:val="样式 1 10 磅"/>
    <w:pPr>
      <w:widowControl w:val="0"/>
      <w:jc w:val="both"/>
    </w:pPr>
    <w:rPr>
      <w:rFonts w:ascii="Calibri" w:eastAsia="宋体" w:cs="Arial" w:hAnsi="Calibri"/>
      <w:kern w:val="2"/>
      <w:sz w:val="21"/>
      <w:szCs w:val="22"/>
      <w:lang w:val="en-US" w:eastAsia="zh-CN" w:bidi="ar-SA"/>
    </w:rPr>
  </w:style>
  <w:style w:type="paragraph" w:customStyle="1" w:styleId="26">
    <w:name w:val="样式 2 10 磅"/>
    <w:pPr>
      <w:widowControl w:val="0"/>
      <w:jc w:val="both"/>
    </w:pPr>
    <w:rPr>
      <w:rFonts w:ascii="Calibri" w:eastAsia="宋体" w:cs="Arial" w:hAnsi="Calibri"/>
      <w:kern w:val="2"/>
      <w:sz w:val="21"/>
      <w:szCs w:val="22"/>
      <w:lang w:val="en-US" w:eastAsia="zh-CN" w:bidi="ar-SA"/>
    </w:rPr>
  </w:style>
  <w:style w:type="paragraph" w:customStyle="1" w:styleId="27">
    <w:name w:val="样式 3 10 磅"/>
    <w:pPr>
      <w:widowControl w:val="0"/>
      <w:jc w:val="both"/>
    </w:pPr>
    <w:rPr>
      <w:rFonts w:ascii="Calibri" w:eastAsia="宋体" w:cs="Arial" w:hAnsi="Calibri"/>
      <w:kern w:val="2"/>
      <w:sz w:val="21"/>
      <w:szCs w:val="22"/>
      <w:lang w:val="en-US" w:eastAsia="zh-CN" w:bidi="ar-SA"/>
    </w:rPr>
  </w:style>
  <w:style w:type="paragraph" w:customStyle="1" w:styleId="28">
    <w:name w:val="样式 4 10 磅"/>
    <w:pPr>
      <w:widowControl w:val="0"/>
      <w:jc w:val="both"/>
    </w:pPr>
    <w:rPr>
      <w:rFonts w:ascii="Calibri" w:eastAsia="宋体" w:cs="Arial" w:hAnsi="Calibri"/>
      <w:kern w:val="2"/>
      <w:sz w:val="21"/>
      <w:szCs w:val="22"/>
      <w:lang w:val="en-US" w:eastAsia="zh-CN" w:bidi="ar-SA"/>
    </w:rPr>
  </w:style>
  <w:style w:type="paragraph" w:customStyle="1" w:styleId="29">
    <w:name w:val="样式 5 10 磅"/>
    <w:pPr>
      <w:widowControl w:val="0"/>
      <w:jc w:val="both"/>
    </w:pPr>
    <w:rPr>
      <w:rFonts w:ascii="Calibri" w:eastAsia="宋体" w:cs="Arial" w:hAnsi="Calibri"/>
      <w:kern w:val="2"/>
      <w:sz w:val="21"/>
      <w:szCs w:val="22"/>
      <w:lang w:val="en-US" w:eastAsia="zh-CN" w:bidi="ar-SA"/>
    </w:rPr>
  </w:style>
  <w:style w:type="paragraph" w:customStyle="1" w:styleId="30">
    <w:name w:val="样式 6 10 磅"/>
    <w:pPr>
      <w:widowControl w:val="0"/>
      <w:jc w:val="both"/>
    </w:pPr>
    <w:rPr>
      <w:rFonts w:ascii="Calibri" w:eastAsia="宋体" w:cs="Arial" w:hAnsi="Calibri"/>
      <w:kern w:val="2"/>
      <w:sz w:val="21"/>
      <w:szCs w:val="22"/>
      <w:lang w:val="en-US" w:eastAsia="zh-CN" w:bidi="ar-SA"/>
    </w:rPr>
  </w:style>
  <w:style w:type="paragraph" w:customStyle="1" w:styleId="31">
    <w:name w:val="样式 7 10 磅"/>
    <w:pPr>
      <w:widowControl w:val="0"/>
      <w:jc w:val="both"/>
    </w:pPr>
    <w:rPr>
      <w:rFonts w:ascii="Calibri" w:eastAsia="宋体" w:cs="Arial" w:hAnsi="Calibri"/>
      <w:kern w:val="2"/>
      <w:sz w:val="21"/>
      <w:szCs w:val="22"/>
      <w:lang w:val="en-US" w:eastAsia="zh-CN" w:bidi="ar-SA"/>
    </w:rPr>
  </w:style>
  <w:style w:type="paragraph" w:customStyle="1" w:styleId="32">
    <w:name w:val="样式 8 10 磅"/>
    <w:pPr>
      <w:widowControl w:val="0"/>
      <w:jc w:val="both"/>
    </w:pPr>
    <w:rPr>
      <w:rFonts w:ascii="Calibri" w:eastAsia="宋体" w:cs="Arial" w:hAnsi="Calibri"/>
      <w:kern w:val="2"/>
      <w:sz w:val="21"/>
      <w:szCs w:val="22"/>
      <w:lang w:val="en-US" w:eastAsia="zh-CN" w:bidi="ar-SA"/>
    </w:rPr>
  </w:style>
  <w:style w:type="paragraph" w:customStyle="1" w:styleId="33">
    <w:name w:val="样式 9 10 磅"/>
    <w:pPr>
      <w:widowControl w:val="0"/>
      <w:jc w:val="both"/>
    </w:pPr>
    <w:rPr>
      <w:rFonts w:ascii="Calibri" w:eastAsia="宋体" w:cs="Arial" w:hAnsi="Calibri"/>
      <w:kern w:val="2"/>
      <w:sz w:val="21"/>
      <w:szCs w:val="22"/>
      <w:lang w:val="en-US" w:eastAsia="zh-CN" w:bidi="ar-SA"/>
    </w:rPr>
  </w:style>
  <w:style w:type="paragraph" w:customStyle="1" w:styleId="34">
    <w:name w:val="样式 10 10 磅"/>
    <w:pPr>
      <w:widowControl w:val="0"/>
      <w:jc w:val="both"/>
    </w:pPr>
    <w:rPr>
      <w:rFonts w:ascii="Calibri" w:eastAsia="宋体" w:cs="Arial" w:hAnsi="Calibri"/>
      <w:kern w:val="2"/>
      <w:sz w:val="21"/>
      <w:szCs w:val="22"/>
      <w:lang w:val="en-US" w:eastAsia="zh-CN" w:bidi="ar-SA"/>
    </w:rPr>
  </w:style>
  <w:style w:type="paragraph" w:customStyle="1" w:styleId="35">
    <w:name w:val="样式 49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6">
    <w:name w:val="样式 50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7">
    <w:name w:val="样式 51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8">
    <w:name w:val="样式 52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9">
    <w:name w:val="样式 53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40">
    <w:name w:val="样式 54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41">
    <w:name w:val="样式 55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42">
    <w:name w:val="样式 56 10 磅"/>
    <w:pPr>
      <w:widowControl w:val="0"/>
      <w:jc w:val="both"/>
    </w:pPr>
    <w:rPr>
      <w:rFonts w:ascii="Calibri" w:eastAsia="宋体" w:cs="Arial" w:hAnsi="Calibri"/>
      <w:kern w:val="2"/>
      <w:sz w:val="21"/>
      <w:szCs w:val="22"/>
      <w:lang w:val="en-US" w:eastAsia="zh-CN" w:bidi="ar-SA"/>
    </w:rPr>
  </w:style>
  <w:style w:type="paragraph" w:customStyle="1" w:styleId="43">
    <w:name w:val="样式 57 10 磅"/>
    <w:pPr>
      <w:widowControl w:val="0"/>
      <w:jc w:val="both"/>
    </w:pPr>
    <w:rPr>
      <w:rFonts w:ascii="Calibri" w:eastAsia="宋体" w:cs="Arial" w:hAnsi="Calibri"/>
      <w:kern w:val="2"/>
      <w:sz w:val="21"/>
      <w:szCs w:val="22"/>
      <w:lang w:val="en-US" w:eastAsia="zh-CN" w:bidi="ar-SA"/>
    </w:rPr>
  </w:style>
  <w:style w:type="paragraph" w:customStyle="1" w:styleId="44">
    <w:name w:val="样式 58 10 磅"/>
    <w:pPr>
      <w:widowControl w:val="0"/>
      <w:jc w:val="both"/>
    </w:pPr>
    <w:rPr>
      <w:rFonts w:ascii="Calibri" w:eastAsia="宋体" w:cs="Arial" w:hAnsi="Calibri"/>
      <w:kern w:val="2"/>
      <w:sz w:val="21"/>
      <w:szCs w:val="22"/>
      <w:lang w:val="en-US" w:eastAsia="zh-CN" w:bidi="ar-SA"/>
    </w:rPr>
  </w:style>
  <w:style w:type="paragraph" w:customStyle="1" w:styleId="45">
    <w:name w:val="样式 59 10 磅"/>
    <w:pPr>
      <w:widowControl w:val="0"/>
      <w:jc w:val="both"/>
    </w:pPr>
    <w:rPr>
      <w:rFonts w:ascii="Calibri" w:eastAsia="宋体" w:cs="Arial" w:hAnsi="Calibri"/>
      <w:kern w:val="2"/>
      <w:sz w:val="21"/>
      <w:szCs w:val="22"/>
      <w:lang w:val="en-US" w:eastAsia="zh-CN" w:bidi="ar-SA"/>
    </w:rPr>
  </w:style>
  <w:style w:type="paragraph" w:customStyle="1" w:styleId="46">
    <w:name w:val="样式 60 10 磅"/>
    <w:pPr>
      <w:widowControl w:val="0"/>
      <w:jc w:val="both"/>
    </w:pPr>
    <w:rPr>
      <w:rFonts w:ascii="Calibri" w:eastAsia="宋体" w:cs="Arial" w:hAnsi="Calibri"/>
      <w:kern w:val="2"/>
      <w:sz w:val="21"/>
      <w:szCs w:val="22"/>
      <w:lang w:val="en-US" w:eastAsia="zh-CN" w:bidi="ar-SA"/>
    </w:rPr>
  </w:style>
  <w:style w:type="paragraph" w:customStyle="1" w:styleId="47">
    <w:name w:val="样式 61 10 磅"/>
    <w:pPr>
      <w:widowControl w:val="0"/>
      <w:jc w:val="both"/>
    </w:pPr>
    <w:rPr>
      <w:rFonts w:ascii="Calibri" w:eastAsia="宋体" w:cs="Arial" w:hAnsi="Calibri"/>
      <w:kern w:val="2"/>
      <w:sz w:val="21"/>
      <w:szCs w:val="22"/>
      <w:lang w:val="en-US" w:eastAsia="zh-CN" w:bidi="ar-SA"/>
    </w:rPr>
  </w:style>
  <w:style w:type="paragraph" w:customStyle="1" w:styleId="48">
    <w:name w:val="样式 62 10 磅"/>
    <w:pPr>
      <w:widowControl w:val="0"/>
      <w:jc w:val="both"/>
    </w:pPr>
    <w:rPr>
      <w:rFonts w:ascii="Calibri" w:eastAsia="宋体" w:cs="Arial" w:hAnsi="Calibri"/>
      <w:kern w:val="2"/>
      <w:sz w:val="21"/>
      <w:szCs w:val="22"/>
      <w:lang w:val="en-US" w:eastAsia="zh-CN" w:bidi="ar-SA"/>
    </w:rPr>
  </w:style>
  <w:style w:type="paragraph" w:customStyle="1" w:styleId="49">
    <w:name w:val="样式 63 10 磅"/>
    <w:pPr>
      <w:widowControl w:val="0"/>
      <w:jc w:val="both"/>
    </w:pPr>
    <w:rPr>
      <w:rFonts w:ascii="Calibri" w:eastAsia="宋体" w:cs="Arial" w:hAnsi="Calibri"/>
      <w:kern w:val="2"/>
      <w:sz w:val="21"/>
      <w:szCs w:val="22"/>
      <w:lang w:val="en-US" w:eastAsia="zh-CN" w:bidi="ar-SA"/>
    </w:rPr>
  </w:style>
  <w:style w:type="paragraph" w:customStyle="1" w:styleId="50">
    <w:name w:val="样式 46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51">
    <w:name w:val="样式 45 10 磅"/>
    <w:pPr>
      <w:widowControl w:val="0"/>
      <w:jc w:val="both"/>
    </w:pPr>
    <w:rPr>
      <w:rFonts w:ascii="Calibri" w:eastAsia="宋体" w:cs="Arial" w:hAnsi="Calibri"/>
      <w:kern w:val="2"/>
      <w:sz w:val="21"/>
      <w:szCs w:val="22"/>
      <w:lang w:val="en-US" w:eastAsia="zh-CN" w:bidi="ar-SA"/>
    </w:rPr>
  </w:style>
  <w:style w:type="paragraph" w:customStyle="1" w:styleId="52">
    <w:name w:val="样式 44 10 磅"/>
    <w:pPr>
      <w:widowControl w:val="0"/>
      <w:jc w:val="both"/>
    </w:pPr>
    <w:rPr>
      <w:rFonts w:ascii="Calibri" w:eastAsia="宋体" w:cs="Arial" w:hAnsi="Calibri"/>
      <w:kern w:val="2"/>
      <w:sz w:val="21"/>
      <w:szCs w:val="22"/>
      <w:lang w:val="en-US" w:eastAsia="zh-CN" w:bidi="ar-SA"/>
    </w:rPr>
  </w:style>
  <w:style w:type="paragraph" w:customStyle="1" w:styleId="53">
    <w:name w:val="样式 41 10 磅"/>
    <w:pPr>
      <w:widowControl w:val="0"/>
      <w:jc w:val="both"/>
    </w:pPr>
    <w:rPr>
      <w:rFonts w:ascii="Calibri" w:eastAsia="宋体" w:cs="Arial" w:hAnsi="Calibri"/>
      <w:kern w:val="2"/>
      <w:sz w:val="21"/>
      <w:szCs w:val="22"/>
      <w:lang w:val="en-US" w:eastAsia="zh-CN" w:bidi="ar-SA"/>
    </w:rPr>
  </w:style>
  <w:style w:type="paragraph" w:customStyle="1" w:styleId="54">
    <w:name w:val="样式 40 10 磅"/>
    <w:pPr>
      <w:widowControl w:val="0"/>
      <w:jc w:val="both"/>
    </w:pPr>
    <w:rPr>
      <w:rFonts w:ascii="Calibri" w:eastAsia="宋体" w:cs="Arial" w:hAnsi="Calibri"/>
      <w:kern w:val="2"/>
      <w:sz w:val="21"/>
      <w:szCs w:val="22"/>
      <w:lang w:val="en-US" w:eastAsia="zh-CN" w:bidi="ar-SA"/>
    </w:rPr>
  </w:style>
  <w:style w:type="paragraph" w:customStyle="1" w:styleId="55">
    <w:name w:val="样式 39 10 磅"/>
    <w:pPr>
      <w:widowControl w:val="0"/>
      <w:jc w:val="both"/>
    </w:pPr>
    <w:rPr>
      <w:rFonts w:ascii="Calibri" w:eastAsia="宋体" w:cs="Arial" w:hAnsi="Calibri"/>
      <w:kern w:val="2"/>
      <w:sz w:val="21"/>
      <w:szCs w:val="22"/>
      <w:lang w:val="en-US" w:eastAsia="zh-CN" w:bidi="ar-SA"/>
    </w:rPr>
  </w:style>
  <w:style w:type="paragraph" w:customStyle="1" w:styleId="56">
    <w:name w:val="样式 64 10 磅"/>
    <w:next w:val="15"/>
    <w:pPr>
      <w:widowControl w:val="0"/>
      <w:jc w:val="both"/>
    </w:pPr>
    <w:rPr>
      <w:rFonts w:ascii="Calibri" w:eastAsia="宋体" w:cs="Times New Roman" w:hAnsi="Calibri"/>
      <w:kern w:val="2"/>
      <w:sz w:val="21"/>
      <w:szCs w:val="22"/>
      <w:lang w:val="en-US" w:eastAsia="zh-CN" w:bidi="ar-SA"/>
    </w:rPr>
  </w:style>
  <w:style w:type="paragraph" w:customStyle="1" w:styleId="57">
    <w:name w:val="正文1"/>
    <w:next w:val="22"/>
    <w:rPr>
      <w:rFonts w:ascii="Times New Roman" w:eastAsia="宋体" w:cs="Times New Roman" w:hAnsi="Times New Roman"/>
      <w:sz w:val="24"/>
      <w:szCs w:val="24"/>
      <w:lang w:val="en-US" w:eastAsia="en-US" w:bidi="ar-SA"/>
    </w:rPr>
  </w:style>
  <w:style w:type="paragraph" w:customStyle="1" w:styleId="58">
    <w:name w:val="样式 1 小四"/>
    <w:next w:val="17"/>
    <w:rPr>
      <w:rFonts w:ascii="Times New Roman" w:eastAsia="宋体" w:cs="Times New Roman" w:hAnsi="Times New Roman"/>
      <w:sz w:val="24"/>
      <w:szCs w:val="24"/>
      <w:lang w:val="en-US" w:eastAsia="en-US" w:bidi="ar-SA"/>
    </w:rPr>
  </w:style>
  <w:style w:type="paragraph" w:customStyle="1" w:styleId="59">
    <w:name w:val="样式 小四"/>
    <w:next w:val="21"/>
    <w:rPr>
      <w:rFonts w:ascii="Times New Roman" w:eastAsia="宋体" w:cs="Times New Roman" w:hAnsi="Times New Roman"/>
      <w:sz w:val="24"/>
      <w:szCs w:val="24"/>
      <w:lang w:val="en-US" w:eastAsia="en-US" w:bidi="ar-SA"/>
    </w:rPr>
  </w:style>
  <w:style w:type="character" w:styleId="60">
    <w:name w:val="annotation reference"/>
    <w:basedOn w:val="10"/>
    <w:rPr>
      <w:sz w:val="21"/>
      <w:szCs w:val="21"/>
    </w:rPr>
  </w:style>
  <w:style w:type="paragraph" w:styleId="61">
    <w:name w:val="macro"/>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left"/>
    </w:pPr>
    <w:rPr>
      <w:rFonts w:ascii="Courier New" w:eastAsia="宋体" w:cs="Times New Roman" w:hAnsi="Courier New"/>
      <w:sz w:val="24"/>
      <w:szCs w:val="24"/>
      <w:lang w:val="en-US" w:eastAsia="zh-CN" w:bidi="ar-SA"/>
    </w:rPr>
  </w:style>
  <w:style w:type="paragraph" w:styleId="62">
    <w:name w:val="toa heading"/>
    <w:basedOn w:val="0"/>
    <w:next w:val="0"/>
    <w:pPr>
      <w:spacing w:before="120"/>
    </w:pPr>
    <w:rPr>
      <w:rFonts w:ascii="Arial" w:hAnsi="Arial"/>
      <w:sz w:val="24"/>
      <w:szCs w:val="24"/>
    </w:rPr>
  </w:style>
  <w:style w:type="paragraph" w:styleId="63">
    <w:name w:val="List Number"/>
    <w:basedOn w:val="0"/>
    <w:pPr>
      <w:numPr>
        <w:ilvl w:val="0"/>
        <w:numId w:val="2"/>
      </w:numPr>
    </w:pPr>
  </w:style>
  <w:style w:type="paragraph" w:styleId="64">
    <w:name w:val="List 4"/>
    <w:basedOn w:val="0"/>
    <w:pPr>
      <w:ind w:left="1680" w:hanging="420"/>
    </w:pPr>
  </w:style>
  <w:style w:type="paragraph" w:styleId="65">
    <w:name w:val="List 5"/>
    <w:basedOn w:val="0"/>
    <w:pPr>
      <w:ind w:left="2100" w:hanging="420"/>
    </w:pPr>
  </w:style>
  <w:style w:type="paragraph" w:customStyle="1" w:styleId="66">
    <w:name w:val="样式 11 10 磅"/>
    <w:pPr>
      <w:widowControl w:val="0"/>
      <w:jc w:val="both"/>
    </w:pPr>
    <w:rPr>
      <w:rFonts w:ascii="Calibri" w:eastAsia="宋体" w:cs="Arial" w:hAnsi="Calibri"/>
      <w:kern w:val="2"/>
      <w:sz w:val="21"/>
      <w:szCs w:val="22"/>
      <w:lang w:val="en-US" w:eastAsia="zh-CN" w:bidi="ar-SA"/>
    </w:rPr>
  </w:style>
  <w:style w:type="paragraph" w:customStyle="1" w:styleId="67">
    <w:name w:val="样式 12 10 磅"/>
    <w:pPr>
      <w:widowControl w:val="0"/>
      <w:jc w:val="both"/>
    </w:pPr>
    <w:rPr>
      <w:rFonts w:ascii="Calibri" w:eastAsia="宋体" w:cs="Arial" w:hAnsi="Calibri"/>
      <w:kern w:val="2"/>
      <w:sz w:val="21"/>
      <w:szCs w:val="22"/>
      <w:lang w:val="en-US" w:eastAsia="zh-CN" w:bidi="ar-SA"/>
    </w:rPr>
  </w:style>
  <w:style w:type="paragraph" w:customStyle="1" w:styleId="68">
    <w:name w:val="样式 67 10 磅"/>
    <w:next w:val="65"/>
    <w:pPr>
      <w:widowControl w:val="0"/>
      <w:jc w:val="both"/>
    </w:pPr>
    <w:rPr>
      <w:rFonts w:ascii="Calibri" w:eastAsia="宋体" w:cs="Arial" w:hAnsi="Calibri"/>
      <w:kern w:val="2"/>
      <w:sz w:val="21"/>
      <w:szCs w:val="22"/>
      <w:lang w:val="en-US" w:eastAsia="zh-CN" w:bidi="ar-SA"/>
    </w:rPr>
  </w:style>
  <w:style w:type="paragraph" w:customStyle="1" w:styleId="69">
    <w:name w:val="样式 66 10 磅"/>
    <w:next w:val="64"/>
    <w:pPr>
      <w:widowControl w:val="0"/>
      <w:jc w:val="both"/>
    </w:pPr>
    <w:rPr>
      <w:rFonts w:ascii="Calibri" w:eastAsia="宋体" w:cs="Arial" w:hAnsi="Calibri"/>
      <w:kern w:val="2"/>
      <w:sz w:val="21"/>
      <w:szCs w:val="22"/>
      <w:lang w:val="en-US" w:eastAsia="zh-CN" w:bidi="ar-SA"/>
    </w:rPr>
  </w:style>
  <w:style w:type="paragraph" w:customStyle="1" w:styleId="70">
    <w:name w:val="样式 13 10 磅"/>
    <w:pPr>
      <w:widowControl w:val="0"/>
      <w:jc w:val="both"/>
    </w:pPr>
    <w:rPr>
      <w:rFonts w:ascii="Calibri" w:eastAsia="宋体" w:cs="Arial" w:hAnsi="Calibri"/>
      <w:kern w:val="2"/>
      <w:sz w:val="21"/>
      <w:szCs w:val="22"/>
      <w:lang w:val="en-US" w:eastAsia="zh-CN" w:bidi="ar-SA"/>
    </w:rPr>
  </w:style>
  <w:style w:type="paragraph" w:customStyle="1" w:styleId="71">
    <w:name w:val="样式 65 10 磅"/>
    <w:next w:val="63"/>
    <w:pPr>
      <w:widowControl w:val="0"/>
      <w:jc w:val="both"/>
    </w:pPr>
    <w:rPr>
      <w:rFonts w:ascii="Calibri" w:eastAsia="宋体" w:cs="Arial" w:hAnsi="Calibri"/>
      <w:kern w:val="2"/>
      <w:sz w:val="21"/>
      <w:szCs w:val="22"/>
      <w:lang w:val="en-US" w:eastAsia="zh-CN" w:bidi="ar-SA"/>
    </w:rPr>
  </w:style>
  <w:style w:type="paragraph" w:customStyle="1" w:styleId="72">
    <w:name w:val="样式 87 10 磅"/>
    <w:next w:val="62"/>
    <w:pPr>
      <w:widowControl w:val="0"/>
      <w:jc w:val="both"/>
    </w:pPr>
    <w:rPr>
      <w:rFonts w:ascii="Calibri" w:eastAsia="宋体" w:cs="Arial" w:hAnsi="Calibri"/>
      <w:kern w:val="2"/>
      <w:sz w:val="21"/>
      <w:szCs w:val="22"/>
      <w:lang w:val="en-US" w:eastAsia="zh-CN" w:bidi="ar-SA"/>
    </w:rPr>
  </w:style>
  <w:style w:type="paragraph" w:customStyle="1" w:styleId="73">
    <w:name w:val="样式 77 10 磅"/>
    <w:next w:val="61"/>
    <w:pPr>
      <w:widowControl w:val="0"/>
      <w:jc w:val="both"/>
    </w:pPr>
    <w:rPr>
      <w:rFonts w:ascii="Calibri" w:eastAsia="宋体" w:cs="Arial" w:hAnsi="Calibri"/>
      <w:kern w:val="2"/>
      <w:sz w:val="21"/>
      <w:szCs w:val="22"/>
      <w:lang w:val="en-US" w:eastAsia="zh-CN" w:bidi="ar-SA"/>
    </w:rPr>
  </w:style>
  <w:style w:type="paragraph" w:customStyle="1" w:styleId="168">
    <w:name w:val="样式 14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10</TotalTime>
  <Application>Yozo_Office</Application>
  <Pages>1</Pages>
  <Words>0</Words>
  <Characters>0</Characters>
  <Lines>1</Lines>
  <Paragraphs>0</Paragraphs>
  <CharactersWithSpaces>0</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9</cp:revision>
  <cp:lastPrinted>2021-03-23T06:36:00Z</cp:lastPrinted>
  <dcterms:created xsi:type="dcterms:W3CDTF">2024-10-25T02:32:00Z</dcterms:created>
  <dcterms:modified xsi:type="dcterms:W3CDTF">2025-03-06T07:10:44Z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2052-12.1.0.15990</vt:lpwstr>
  </property>
  <property fmtid="{D5CDD505-2E9C-101B-9397-08002B2CF9AE}" pid="3" name="ICV">
    <vt:lpwstr>D57E6DA48076435E996CBB0BB69E87AA_12</vt:lpwstr>
  </property>
</Properties>
</file>