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企业自查情况</w:t>
      </w:r>
      <w:r>
        <w:rPr>
          <w:rFonts w:ascii="Times New Roman" w:eastAsia="方正小标宋_GBK" w:hAnsi="Times New Roman" w:hint="eastAsia"/>
          <w:sz w:val="44"/>
          <w:szCs w:val="44"/>
        </w:rPr>
        <w:t>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（单耗业务核查）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</w:p>
    <w:p>
      <w:pPr>
        <w:pStyle w:val="40"/>
        <w:widowControl/>
        <w:spacing w:line="560" w:lineRule="exact"/>
        <w:ind w:left="0" w:right="-1155" w:firstLine="0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t>以下内容海关填写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735"/>
        <w:gridCol w:w="1543"/>
        <w:gridCol w:w="2309"/>
      </w:tblGrid>
      <w:tr>
        <w:trPr>
          <w:trHeight w:val="833"/>
        </w:trPr>
        <w:tc>
          <w:tcPr>
            <w:tcW w:w="2235" w:type="dxa"/>
            <w:vAlign w:val="center"/>
          </w:tcPr>
          <w:p>
            <w:pPr>
              <w:pStyle w:val="41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2735" w:type="dxa"/>
            <w:vAlign w:val="center"/>
          </w:tcPr>
          <w:p>
            <w:pPr>
              <w:pStyle w:val="42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43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44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2235" w:type="dxa"/>
            <w:vAlign w:val="center"/>
          </w:tcPr>
          <w:p>
            <w:pPr>
              <w:pStyle w:val="4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4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2735" w:type="dxa"/>
            <w:vAlign w:val="center"/>
          </w:tcPr>
          <w:p>
            <w:pPr>
              <w:pStyle w:val="46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4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市场主体类型</w:t>
            </w:r>
          </w:p>
        </w:tc>
        <w:tc>
          <w:tcPr>
            <w:tcW w:w="2309" w:type="dxa"/>
            <w:vAlign w:val="center"/>
          </w:tcPr>
          <w:p>
            <w:pPr>
              <w:pStyle w:val="48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2235" w:type="dxa"/>
            <w:vAlign w:val="center"/>
          </w:tcPr>
          <w:p>
            <w:pPr>
              <w:pStyle w:val="4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企业类型</w:t>
            </w:r>
          </w:p>
        </w:tc>
        <w:tc>
          <w:tcPr>
            <w:tcW w:w="6587" w:type="dxa"/>
            <w:gridSpan w:val="3"/>
            <w:vAlign w:val="center"/>
          </w:tcPr>
          <w:p>
            <w:pPr>
              <w:pStyle w:val="50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50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50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151"/>
        </w:trPr>
        <w:tc>
          <w:tcPr>
            <w:tcW w:w="2235" w:type="dxa"/>
            <w:vAlign w:val="center"/>
          </w:tcPr>
          <w:p>
            <w:pPr>
              <w:pStyle w:val="49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6587" w:type="dxa"/>
            <w:gridSpan w:val="3"/>
            <w:vAlign w:val="center"/>
          </w:tcPr>
          <w:p>
            <w:pPr>
              <w:pStyle w:val="50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632"/>
        </w:trPr>
        <w:tc>
          <w:tcPr>
            <w:tcW w:w="2235" w:type="dxa"/>
            <w:vAlign w:val="center"/>
          </w:tcPr>
          <w:p>
            <w:pPr>
              <w:pStyle w:val="54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法定代表人</w:t>
            </w:r>
          </w:p>
        </w:tc>
        <w:tc>
          <w:tcPr>
            <w:tcW w:w="2735" w:type="dxa"/>
            <w:vAlign w:val="center"/>
          </w:tcPr>
          <w:p>
            <w:pPr>
              <w:pStyle w:val="51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52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53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698"/>
        </w:trPr>
        <w:tc>
          <w:tcPr>
            <w:tcW w:w="2235" w:type="dxa"/>
            <w:vAlign w:val="center"/>
          </w:tcPr>
          <w:p>
            <w:pPr>
              <w:pStyle w:val="54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企业联系人</w:t>
            </w:r>
          </w:p>
        </w:tc>
        <w:tc>
          <w:tcPr>
            <w:tcW w:w="2735" w:type="dxa"/>
            <w:vAlign w:val="center"/>
          </w:tcPr>
          <w:p>
            <w:pPr>
              <w:pStyle w:val="51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52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53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2235" w:type="dxa"/>
            <w:vAlign w:val="center"/>
          </w:tcPr>
          <w:p>
            <w:pPr>
              <w:pStyle w:val="54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6587" w:type="dxa"/>
            <w:gridSpan w:val="3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sz w:val="24"/>
                <w:szCs w:val="24"/>
              </w:rPr>
              <w:t>（可根据实际情况填写）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1.通过自查企业生产设备、工艺、单耗计算方法和计算公式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；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边角料、副产品产生的合理性及实际状况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；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保税料件、非保税料件的使用情况，核实企业实际单耗数据，确认企业实际单耗与申报单耗是否相符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；单耗存在异常的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，核实异常的原因。</w:t>
            </w:r>
          </w:p>
          <w:p>
            <w:pPr>
              <w:widowControl/>
              <w:spacing w:line="56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2.特殊区域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内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实际耗料自查，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包括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加工（含一般纳税人企业和委托（委内）加工）、维修、研发、再制造</w:t>
            </w:r>
            <w:r>
              <w:rPr>
                <w:rFonts w:ascii="Times New Roman" w:eastAsia="方正仿宋_GBK" w:hAnsi="Times New Roman"/>
                <w:sz w:val="24"/>
                <w:szCs w:val="24"/>
              </w:rPr>
              <w:t>等业务的</w:t>
            </w:r>
            <w:r>
              <w:rPr>
                <w:rFonts w:ascii="Times New Roman" w:eastAsia="方正仿宋_GBK" w:hAnsi="Times New Roman" w:hint="eastAsia"/>
                <w:sz w:val="24"/>
                <w:szCs w:val="24"/>
              </w:rPr>
              <w:t>耗料自查。</w:t>
            </w:r>
          </w:p>
        </w:tc>
      </w:tr>
      <w:tr>
        <w:trPr>
          <w:trHeight w:val="926"/>
        </w:trPr>
        <w:tc>
          <w:tcPr>
            <w:tcW w:w="2235" w:type="dxa"/>
            <w:vAlign w:val="center"/>
          </w:tcPr>
          <w:p>
            <w:pPr>
              <w:pStyle w:val="54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</w:t>
            </w:r>
            <w:r>
              <w:rPr>
                <w:rFonts w:ascii="方正楷体_GBK" w:eastAsia="方正楷体_GBK"/>
                <w:sz w:val="32"/>
                <w:szCs w:val="32"/>
              </w:rPr>
              <w:t>期限</w:t>
            </w:r>
          </w:p>
        </w:tc>
        <w:tc>
          <w:tcPr>
            <w:tcW w:w="6587" w:type="dxa"/>
            <w:gridSpan w:val="3"/>
            <w:vAlign w:val="center"/>
          </w:tcPr>
          <w:p>
            <w:pPr>
              <w:pStyle w:val="53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年    月    日</w:t>
            </w:r>
          </w:p>
        </w:tc>
      </w:tr>
      <w:tr>
        <w:trPr>
          <w:trHeight w:val="926"/>
        </w:trPr>
        <w:tc>
          <w:tcPr>
            <w:tcW w:w="2235" w:type="dxa"/>
            <w:vAlign w:val="center"/>
          </w:tcPr>
          <w:p>
            <w:pPr>
              <w:pStyle w:val="7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2735" w:type="dxa"/>
            <w:vAlign w:val="center"/>
          </w:tcPr>
          <w:p>
            <w:pPr>
              <w:pStyle w:val="53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53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53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</w:p>
        </w:tc>
      </w:tr>
    </w:tbl>
    <w:p>
      <w:pPr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br w:type="page"/>
      </w:r>
    </w:p>
    <w:p>
      <w:pPr>
        <w:pStyle w:val="84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>
      <w:pPr>
        <w:pStyle w:val="84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85"/>
      </w:pPr>
    </w:p>
    <w:p>
      <w:pPr>
        <w:pStyle w:val="86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87"/>
        <w:widowControl/>
        <w:spacing w:line="540" w:lineRule="exact"/>
        <w:ind w:left="0" w:right="-210" w:firstLine="559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88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8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8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8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8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8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89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9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91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82"/>
        <w:rPr>
          <w:rFonts w:eastAsia="方正小标宋_GBK"/>
          <w:sz w:val="28"/>
          <w:szCs w:val="28"/>
        </w:rPr>
      </w:pPr>
    </w:p>
    <w:p>
      <w:pPr>
        <w:pStyle w:val="82"/>
        <w:rPr>
          <w:rFonts w:eastAsia="方正小标宋_GBK"/>
          <w:sz w:val="28"/>
          <w:szCs w:val="28"/>
        </w:rPr>
      </w:pPr>
    </w:p>
    <w:p>
      <w:pPr>
        <w:pStyle w:val="82"/>
        <w:rPr>
          <w:rFonts w:eastAsia="方正小标宋_GBK"/>
          <w:sz w:val="28"/>
          <w:szCs w:val="28"/>
        </w:rPr>
      </w:pPr>
    </w:p>
    <w:p>
      <w:pPr>
        <w:widowControl/>
        <w:spacing w:line="560" w:lineRule="exact"/>
        <w:jc w:val="left"/>
        <w:outlineLvl w:val="0"/>
        <w:rPr>
          <w:rFonts w:ascii="宋体" w:hint="eastAsia"/>
          <w:szCs w:val="21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jc w:val="left"/>
        <w:tblW w:w="8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6905"/>
      </w:tblGrid>
      <w:tr>
        <w:trPr>
          <w:trHeight w:val="126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4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4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2"/>
              <w:spacing w:line="48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842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0"/>
              <w:spacing w:line="480" w:lineRule="exact"/>
              <w:rPr>
                <w:rFonts w:ascii="Times New Roman" w:hAnsi="Times New Roman"/>
              </w:rPr>
            </w:pPr>
          </w:p>
        </w:tc>
      </w:tr>
      <w:t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ind w:left="141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一、自查内容：</w:t>
            </w:r>
          </w:p>
          <w:p>
            <w:pPr>
              <w:pStyle w:val="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pStyle w:val="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（说明：在执行手账册（周期）内</w:t>
            </w:r>
            <w:r>
              <w:rPr>
                <w:rFonts w:ascii="方正楷体_GBK" w:eastAsia="方正楷体_GBK"/>
                <w:sz w:val="24"/>
                <w:szCs w:val="24"/>
              </w:rPr>
              <w:t>保税加工业务开展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情况</w:t>
            </w:r>
            <w:r>
              <w:rPr>
                <w:rFonts w:ascii="方正楷体_GBK" w:eastAsia="方正楷体_GBK"/>
                <w:sz w:val="24"/>
                <w:szCs w:val="24"/>
              </w:rPr>
              <w:t>，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可另附页。）</w:t>
            </w:r>
          </w:p>
          <w:p>
            <w:pPr>
              <w:pStyle w:val="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（说明：需核对企业海关注册登记或备案信息与实际是否相符，提供营业执照、法定代表人身份证明、相关资质证书、注册登记或备案证明等相应佐证材料。）</w:t>
            </w:r>
          </w:p>
          <w:p>
            <w:pPr>
              <w:pStyle w:val="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67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26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3. 是否自查货物有关的生产环节记录单证。</w:t>
            </w:r>
          </w:p>
          <w:p>
            <w:pPr>
              <w:pStyle w:val="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（说明：自查并提供与货物有关的生产环节记录单证，如投料表、施工表、生产工单、BOM表等</w:t>
            </w:r>
            <w:r>
              <w:rPr>
                <w:rFonts w:ascii="方正楷体_GBK" w:eastAsia="方正楷体_GBK"/>
                <w:sz w:val="24"/>
                <w:szCs w:val="24"/>
              </w:rPr>
              <w:t>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pStyle w:val="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</w:t>
            </w:r>
          </w:p>
          <w:p>
            <w:pPr>
              <w:pStyle w:val="67"/>
              <w:spacing w:line="48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67"/>
              <w:spacing w:line="48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>
            <w:pPr>
              <w:pStyle w:val="67"/>
              <w:spacing w:line="480" w:lineRule="exact"/>
              <w:ind w:firstLineChars="200" w:firstLine="560"/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4.是否自查货物有关的财务结算单证。</w:t>
            </w:r>
          </w:p>
          <w:p>
            <w:pPr>
              <w:pStyle w:val="67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（说明：自查货物相关</w:t>
            </w:r>
            <w:r>
              <w:rPr>
                <w:rFonts w:ascii="方正楷体_GBK" w:eastAsia="方正楷体_GBK"/>
                <w:sz w:val="24"/>
                <w:szCs w:val="24"/>
              </w:rPr>
              <w:t>的财务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记录</w:t>
            </w:r>
            <w:r>
              <w:rPr>
                <w:rFonts w:ascii="方正楷体_GBK" w:eastAsia="方正楷体_GBK"/>
                <w:sz w:val="24"/>
                <w:szCs w:val="24"/>
              </w:rPr>
              <w:t>，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如内销保税货物或边角料结算凭证等，需提供相关凭证</w:t>
            </w:r>
            <w:r>
              <w:rPr>
                <w:rFonts w:ascii="方正楷体_GBK" w:eastAsia="方正楷体_GBK"/>
                <w:sz w:val="24"/>
                <w:szCs w:val="24"/>
              </w:rPr>
              <w:t>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pStyle w:val="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pStyle w:val="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pStyle w:val="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pStyle w:val="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5.</w:t>
            </w:r>
            <w:r>
              <w:rPr>
                <w:rFonts w:ascii="Times New Roman" w:eastAsia="方正仿宋_GBK" w:hAnsi="Times New Roman" w:hint="eastAsia"/>
                <w:sz w:val="28"/>
              </w:rPr>
              <w:t>是否自查被核查的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货物</w:t>
            </w:r>
            <w:r>
              <w:rPr>
                <w:rFonts w:ascii="Times New Roman" w:eastAsia="方正仿宋_GBK" w:hAnsi="Times New Roman" w:hint="eastAsia"/>
                <w:color w:val="000000"/>
                <w:sz w:val="28"/>
                <w:szCs w:val="28"/>
              </w:rPr>
              <w:t>。</w:t>
            </w:r>
          </w:p>
          <w:p>
            <w:pPr>
              <w:pStyle w:val="67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 xml:space="preserve">○ 是 </w:t>
            </w:r>
          </w:p>
          <w:p>
            <w:pPr>
              <w:pStyle w:val="67"/>
              <w:spacing w:line="48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 否</w:t>
            </w:r>
          </w:p>
          <w:p>
            <w:pPr>
              <w:pStyle w:val="67"/>
              <w:spacing w:line="48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firstLineChars="200" w:firstLine="560"/>
            </w:pPr>
            <w:r>
              <w:rPr>
                <w:rFonts w:ascii="方正仿宋_GBK" w:eastAsia="方正仿宋_GBK" w:cs="Times New Roman" w:hint="eastAsia"/>
                <w:color w:val="000000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6．是否自查货物的生产工艺流程。</w:t>
            </w:r>
          </w:p>
          <w:p>
            <w:pPr>
              <w:spacing w:line="56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（说明：自查货物的生产加工工艺流程，提供加工工艺流程说明，如有必要需提供证明相关流程的图片资料。）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left="-7" w:firstLine="483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情况描述：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7．自查核算货物单耗所采用的方法。</w:t>
            </w:r>
          </w:p>
          <w:p>
            <w:pPr>
              <w:spacing w:line="56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（说明：相关核算方法说明详见附注1，企业根据实际情况说明核算货物单耗的实际方法并提供相关凭证。）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○技术分析法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○实际测定法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成本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核算法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○其他方法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情况描述：____________</w:t>
            </w:r>
          </w:p>
          <w:p>
            <w:pPr>
              <w:numPr>
                <w:ilvl w:val="0"/>
                <w:numId w:val="1"/>
              </w:num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自查是否已核定货物的实际单耗。</w:t>
            </w:r>
          </w:p>
          <w:p>
            <w:pPr>
              <w:spacing w:line="56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（说明：如已核定货物的实际单耗，需提供核定过程及核定结果。）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eastAsia="方正仿宋_GBK"/>
                <w:sz w:val="28"/>
                <w:szCs w:val="28"/>
              </w:rPr>
              <w:t>情况描述：____________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9．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实际单耗与申报单耗是否相符：</w:t>
            </w:r>
          </w:p>
          <w:p>
            <w:pPr>
              <w:spacing w:line="56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（说明：如已核定货物的实际单耗，根据核定结果与手帐册申报单耗进行比对，如无法比对请说明原因。）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○是  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</w:t>
            </w:r>
          </w:p>
          <w:p>
            <w:pPr>
              <w:spacing w:line="56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560" w:lineRule="exact"/>
              <w:ind w:left="-7" w:firstLine="483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情况描述：____________</w:t>
            </w:r>
          </w:p>
          <w:p>
            <w:pPr>
              <w:pStyle w:val="59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</w:tr>
      <w:tr>
        <w:trPr>
          <w:trHeight w:val="744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75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二、随附材料：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（如涉及自查内容请按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“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自查内容项号+简介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”命名）</w:t>
            </w:r>
          </w:p>
          <w:p>
            <w:pPr>
              <w:pStyle w:val="75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1、</w:t>
            </w:r>
          </w:p>
          <w:p>
            <w:pPr>
              <w:pStyle w:val="75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2、</w:t>
            </w:r>
          </w:p>
          <w:p>
            <w:pPr>
              <w:pStyle w:val="75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3、</w:t>
            </w:r>
          </w:p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页</w:t>
            </w:r>
          </w:p>
        </w:tc>
      </w:tr>
      <w:tr>
        <w:trPr>
          <w:trHeight w:val="93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66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三、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自查结果：</w:t>
            </w:r>
          </w:p>
          <w:p>
            <w:pPr>
              <w:pStyle w:val="6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○未发现问题</w:t>
            </w:r>
          </w:p>
          <w:p>
            <w:pPr>
              <w:pStyle w:val="6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○发现问题，描述：</w:t>
            </w:r>
          </w:p>
          <w:p>
            <w:pPr>
              <w:pStyle w:val="6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66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对照自查内容，我公司实施自查，发现</w:t>
            </w:r>
            <w:r>
              <w:rPr>
                <w:rFonts w:ascii="Times New Roman" w:eastAsia="方正仿宋_GBK" w:hAnsi="Times New Roman" w:hint="eastAsia"/>
                <w:b/>
                <w:sz w:val="28"/>
              </w:rPr>
              <w:t>存在/不存在</w:t>
            </w:r>
            <w:r>
              <w:rPr>
                <w:rFonts w:ascii="Times New Roman" w:eastAsia="方正仿宋_GBK" w:hAnsi="Times New Roman" w:hint="eastAsia"/>
                <w:sz w:val="28"/>
              </w:rPr>
              <w:t>违反海关监管规定的情形，现报告如下：</w:t>
            </w:r>
          </w:p>
          <w:p>
            <w:pPr>
              <w:pStyle w:val="58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</w:p>
          <w:p>
            <w:pPr>
              <w:pStyle w:val="58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</w:p>
          <w:p>
            <w:pPr>
              <w:pStyle w:val="58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</w:p>
          <w:p>
            <w:pPr>
              <w:pStyle w:val="58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（可另附企业自查情况说明资料）</w:t>
            </w:r>
          </w:p>
        </w:tc>
      </w:tr>
      <w:tr>
        <w:trPr>
          <w:trHeight w:val="932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主要负责人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（公章）</w:t>
            </w:r>
          </w:p>
          <w:p>
            <w:pPr>
              <w:spacing w:line="480" w:lineRule="exact"/>
              <w:ind w:firstLineChars="2300" w:firstLine="644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607"/>
        </w:trPr>
        <w:tc>
          <w:tcPr>
            <w:tcW w:w="8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备注：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</w:tbl>
    <w:p>
      <w:r>
        <w:rPr>
          <w:rFonts w:hint="eastAsia"/>
        </w:rPr>
        <w:br w:type="page"/>
      </w:r>
      <w:bookmarkStart w:id="0" w:name="_GoBack"/>
      <w:bookmarkEnd w:id="0"/>
    </w:p>
    <w:p>
      <w:pPr>
        <w:widowControl/>
        <w:spacing w:line="560" w:lineRule="exact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8"/>
          <w:szCs w:val="28"/>
        </w:rPr>
        <w:t>附注1：核查企业单耗的方法</w:t>
      </w:r>
    </w:p>
    <w:p>
      <w:pPr>
        <w:widowControl/>
        <w:spacing w:line="560" w:lineRule="exact"/>
        <w:ind w:firstLineChars="200" w:firstLine="560"/>
      </w:pPr>
      <w:r>
        <w:rPr>
          <w:rFonts w:ascii="Times New Roman" w:eastAsia="方正仿宋_GBK" w:hAnsi="Times New Roman" w:hint="eastAsia"/>
          <w:sz w:val="28"/>
          <w:szCs w:val="28"/>
        </w:rPr>
        <w:t>根据实际情况，选择技术分析法、实际测定法、成本核算法中的一种或以上几种；在以上方法无法核定单耗的情况下，可以选择其他方法，如逐单统计、废料收集计算法、成分分析法等方法。</w:t>
      </w:r>
    </w:p>
    <w:p>
      <w:pPr>
        <w:spacing w:line="560" w:lineRule="exact"/>
        <w:ind w:firstLineChars="200" w:firstLine="560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8"/>
          <w:szCs w:val="28"/>
        </w:rPr>
        <w:t>（一）采用技术分析法核算单耗的，可以通过对被核查人生产成品的结构、成分、配方、排料图、</w:t>
      </w:r>
      <w:r>
        <w:rPr>
          <w:rFonts w:ascii="Times New Roman" w:eastAsia="方正仿宋_GBK" w:hAnsi="Times New Roman"/>
          <w:sz w:val="28"/>
          <w:szCs w:val="28"/>
        </w:rPr>
        <w:t>BOM</w:t>
      </w:r>
      <w:r>
        <w:rPr>
          <w:rFonts w:ascii="Times New Roman" w:eastAsia="方正仿宋_GBK" w:hAnsi="Times New Roman" w:hint="eastAsia"/>
          <w:sz w:val="28"/>
          <w:szCs w:val="28"/>
        </w:rPr>
        <w:t>配料表、工艺要求、质量检测标准等影响单耗的各种因素进行分析和计算，查证被核查人核算单耗的依据和结果是否准确。</w:t>
      </w:r>
    </w:p>
    <w:p>
      <w:pPr>
        <w:spacing w:line="560" w:lineRule="exact"/>
        <w:ind w:firstLineChars="200" w:firstLine="560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8"/>
          <w:szCs w:val="28"/>
        </w:rPr>
        <w:t>技术分析法</w:t>
      </w:r>
      <w:r>
        <w:rPr>
          <w:rFonts w:ascii="Times New Roman" w:eastAsia="方正仿宋_GBK" w:hAnsi="Times New Roman"/>
          <w:sz w:val="28"/>
          <w:szCs w:val="28"/>
        </w:rPr>
        <w:t>：</w:t>
      </w:r>
    </w:p>
    <w:p>
      <w:pPr>
        <w:spacing w:line="560" w:lineRule="exact"/>
        <w:ind w:firstLineChars="200" w:firstLine="560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8"/>
          <w:szCs w:val="28"/>
        </w:rPr>
        <w:t>（</w:t>
      </w:r>
      <w:r>
        <w:rPr>
          <w:rFonts w:ascii="Times New Roman" w:eastAsia="方正仿宋_GBK" w:hAnsi="Times New Roman"/>
          <w:sz w:val="28"/>
          <w:szCs w:val="28"/>
        </w:rPr>
        <w:t>1</w:t>
      </w:r>
      <w:r>
        <w:rPr>
          <w:rFonts w:ascii="Times New Roman" w:eastAsia="方正仿宋_GBK" w:hAnsi="Times New Roman" w:hint="eastAsia"/>
          <w:sz w:val="28"/>
          <w:szCs w:val="28"/>
        </w:rPr>
        <w:t>）调阅企业一段稳定生产周期的产品</w:t>
      </w:r>
      <w:r>
        <w:rPr>
          <w:rFonts w:ascii="Times New Roman" w:eastAsia="方正仿宋_GBK" w:hAnsi="Times New Roman"/>
          <w:sz w:val="28"/>
          <w:szCs w:val="28"/>
        </w:rPr>
        <w:t>BOM</w:t>
      </w:r>
      <w:r>
        <w:rPr>
          <w:rFonts w:ascii="Times New Roman" w:eastAsia="方正仿宋_GBK" w:hAnsi="Times New Roman" w:hint="eastAsia"/>
          <w:sz w:val="28"/>
          <w:szCs w:val="28"/>
        </w:rPr>
        <w:t>表，抽取其中在生产的成品数据进行实际抽样核对，以确定</w:t>
      </w:r>
      <w:r>
        <w:rPr>
          <w:rFonts w:ascii="Times New Roman" w:eastAsia="方正仿宋_GBK" w:hAnsi="Times New Roman"/>
          <w:sz w:val="28"/>
          <w:szCs w:val="28"/>
        </w:rPr>
        <w:t>BOM</w:t>
      </w:r>
      <w:r>
        <w:rPr>
          <w:rFonts w:ascii="Times New Roman" w:eastAsia="方正仿宋_GBK" w:hAnsi="Times New Roman" w:hint="eastAsia"/>
          <w:sz w:val="28"/>
          <w:szCs w:val="28"/>
        </w:rPr>
        <w:t>表的准确性；</w:t>
      </w:r>
    </w:p>
    <w:p>
      <w:pPr>
        <w:spacing w:line="560" w:lineRule="exact"/>
        <w:ind w:firstLineChars="200" w:firstLine="560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8"/>
          <w:szCs w:val="28"/>
        </w:rPr>
        <w:t>（</w:t>
      </w:r>
      <w:r>
        <w:rPr>
          <w:rFonts w:ascii="Times New Roman" w:eastAsia="方正仿宋_GBK" w:hAnsi="Times New Roman"/>
          <w:sz w:val="28"/>
          <w:szCs w:val="28"/>
        </w:rPr>
        <w:t>2</w:t>
      </w:r>
      <w:r>
        <w:rPr>
          <w:rFonts w:ascii="Times New Roman" w:eastAsia="方正仿宋_GBK" w:hAnsi="Times New Roman" w:hint="eastAsia"/>
          <w:sz w:val="28"/>
          <w:szCs w:val="28"/>
        </w:rPr>
        <w:t>）调阅周期内相关成品所有订单，核算出各项成品的总数量；</w:t>
      </w:r>
    </w:p>
    <w:p>
      <w:pPr>
        <w:tabs>
          <w:tab w:val="left" w:pos="0"/>
        </w:tabs>
        <w:spacing w:line="560" w:lineRule="exact"/>
        <w:ind w:firstLineChars="200" w:firstLine="560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8"/>
          <w:szCs w:val="28"/>
        </w:rPr>
        <w:t>（</w:t>
      </w:r>
      <w:r>
        <w:rPr>
          <w:rFonts w:ascii="Times New Roman" w:eastAsia="方正仿宋_GBK" w:hAnsi="Times New Roman"/>
          <w:sz w:val="28"/>
          <w:szCs w:val="28"/>
        </w:rPr>
        <w:t>3</w:t>
      </w:r>
      <w:r>
        <w:rPr>
          <w:rFonts w:ascii="Times New Roman" w:eastAsia="方正仿宋_GBK" w:hAnsi="Times New Roman" w:hint="eastAsia"/>
          <w:sz w:val="28"/>
          <w:szCs w:val="28"/>
        </w:rPr>
        <w:t>）提取</w:t>
      </w:r>
      <w:r>
        <w:rPr>
          <w:rFonts w:ascii="Times New Roman" w:eastAsia="方正仿宋_GBK" w:hAnsi="Times New Roman"/>
          <w:sz w:val="28"/>
          <w:szCs w:val="28"/>
        </w:rPr>
        <w:t>BOM</w:t>
      </w:r>
      <w:r>
        <w:rPr>
          <w:rFonts w:ascii="Times New Roman" w:eastAsia="方正仿宋_GBK" w:hAnsi="Times New Roman" w:hint="eastAsia"/>
          <w:sz w:val="28"/>
          <w:szCs w:val="28"/>
        </w:rPr>
        <w:t>表中相关成品对应料件的净耗；</w:t>
      </w:r>
    </w:p>
    <w:p>
      <w:pPr>
        <w:tabs>
          <w:tab w:val="left" w:pos="0"/>
        </w:tabs>
        <w:spacing w:line="560" w:lineRule="exact"/>
        <w:ind w:firstLineChars="200" w:firstLine="560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8"/>
          <w:szCs w:val="28"/>
        </w:rPr>
        <w:t>（</w:t>
      </w:r>
      <w:r>
        <w:rPr>
          <w:rFonts w:ascii="Times New Roman" w:eastAsia="方正仿宋_GBK" w:hAnsi="Times New Roman"/>
          <w:sz w:val="28"/>
          <w:szCs w:val="28"/>
        </w:rPr>
        <w:t>4</w:t>
      </w:r>
      <w:r>
        <w:rPr>
          <w:rFonts w:ascii="Times New Roman" w:eastAsia="方正仿宋_GBK" w:hAnsi="Times New Roman" w:hint="eastAsia"/>
          <w:sz w:val="28"/>
          <w:szCs w:val="28"/>
        </w:rPr>
        <w:t>）以上述核算出的总数量、净耗，使用加权平均法计算出该料件的平均净耗，详见公式一：设手册成品对应于</w:t>
      </w:r>
      <w:r>
        <w:rPr>
          <w:rFonts w:ascii="Times New Roman" w:eastAsia="方正仿宋_GBK" w:hAnsi="Times New Roman"/>
          <w:sz w:val="28"/>
          <w:szCs w:val="28"/>
        </w:rPr>
        <w:t>BOM</w:t>
      </w:r>
      <w:r>
        <w:rPr>
          <w:rFonts w:ascii="Times New Roman" w:eastAsia="方正仿宋_GBK" w:hAnsi="Times New Roman" w:hint="eastAsia"/>
          <w:sz w:val="28"/>
          <w:szCs w:val="28"/>
        </w:rPr>
        <w:t>表中</w:t>
      </w:r>
      <w:r>
        <w:rPr>
          <w:rFonts w:ascii="Times New Roman" w:eastAsia="方正仿宋_GBK" w:hAnsi="Times New Roman"/>
          <w:sz w:val="28"/>
          <w:szCs w:val="28"/>
        </w:rPr>
        <w:t>n</w:t>
      </w:r>
      <w:r>
        <w:rPr>
          <w:rFonts w:ascii="Times New Roman" w:eastAsia="方正仿宋_GBK" w:hAnsi="Times New Roman" w:hint="eastAsia"/>
          <w:sz w:val="28"/>
          <w:szCs w:val="28"/>
        </w:rPr>
        <w:t>项成品</w:t>
      </w:r>
      <w:r>
        <w:rPr>
          <w:rFonts w:ascii="Times New Roman" w:eastAsia="方正仿宋_GBK" w:hAnsi="Times New Roman"/>
          <w:sz w:val="28"/>
          <w:szCs w:val="28"/>
        </w:rPr>
        <w:t>,</w:t>
      </w:r>
      <w:r>
        <w:rPr>
          <w:rFonts w:ascii="Times New Roman" w:eastAsia="方正仿宋_GBK" w:hAnsi="Times New Roman" w:hint="eastAsia"/>
          <w:sz w:val="28"/>
          <w:szCs w:val="28"/>
        </w:rPr>
        <w:t>每一项成品对应核算料件的净耗为</w:t>
      </w:r>
      <w:r>
        <w:rPr>
          <w:rFonts w:ascii="Times New Roman" w:eastAsia="方正仿宋_GBK" w:hAnsi="Times New Roman"/>
          <w:sz w:val="28"/>
          <w:szCs w:val="28"/>
        </w:rPr>
        <w:t>Ji,</w:t>
      </w:r>
      <w:r>
        <w:rPr>
          <w:rFonts w:ascii="Times New Roman" w:eastAsia="方正仿宋_GBK" w:hAnsi="Times New Roman" w:hint="eastAsia"/>
          <w:sz w:val="28"/>
          <w:szCs w:val="28"/>
        </w:rPr>
        <w:t>数量为</w:t>
      </w:r>
      <w:r>
        <w:rPr>
          <w:rFonts w:ascii="Times New Roman" w:eastAsia="方正仿宋_GBK" w:hAnsi="Times New Roman"/>
          <w:sz w:val="28"/>
          <w:szCs w:val="28"/>
        </w:rPr>
        <w:t>Ci,</w:t>
      </w:r>
      <w:r>
        <w:rPr>
          <w:rFonts w:ascii="Times New Roman" w:eastAsia="方正仿宋_GBK" w:hAnsi="Times New Roman" w:hint="eastAsia"/>
          <w:sz w:val="28"/>
          <w:szCs w:val="28"/>
        </w:rPr>
        <w:t>则加权平均净耗</w:t>
      </w:r>
      <w:r>
        <w:rPr>
          <w:rFonts w:ascii="Times New Roman" w:eastAsia="方正仿宋_GBK" w:hAnsi="Times New Roman"/>
          <w:sz w:val="28"/>
          <w:szCs w:val="28"/>
        </w:rPr>
        <w:t>J=</w:t>
      </w:r>
      <w:r>
        <w:rPr>
          <w:rFonts w:ascii="Times New Roman" w:eastAsia="方正仿宋_GBK" w:hAnsi="Times New Roman" w:hint="eastAsia"/>
          <w:sz w:val="28"/>
          <w:szCs w:val="28"/>
        </w:rPr>
        <w:t>∑</w:t>
      </w:r>
      <w:r>
        <w:rPr>
          <w:rFonts w:ascii="Times New Roman" w:eastAsia="方正仿宋_GBK" w:hAnsi="Times New Roman"/>
          <w:sz w:val="28"/>
          <w:szCs w:val="28"/>
        </w:rPr>
        <w:t>Ji</w:t>
      </w:r>
      <w:r>
        <w:rPr>
          <w:rFonts w:ascii="Times New Roman" w:eastAsia="方正仿宋_GBK" w:hAnsi="Times New Roman" w:hint="eastAsia"/>
          <w:sz w:val="28"/>
          <w:szCs w:val="28"/>
        </w:rPr>
        <w:t>×</w:t>
      </w:r>
      <w:r>
        <w:rPr>
          <w:rFonts w:ascii="Times New Roman" w:eastAsia="方正仿宋_GBK" w:hAnsi="Times New Roman"/>
          <w:sz w:val="28"/>
          <w:szCs w:val="28"/>
        </w:rPr>
        <w:t>Ci</w:t>
      </w:r>
      <w:r>
        <w:rPr>
          <w:rFonts w:ascii="Times New Roman" w:eastAsia="方正仿宋_GBK" w:hAnsi="Times New Roman" w:hint="eastAsia"/>
          <w:sz w:val="28"/>
          <w:szCs w:val="28"/>
        </w:rPr>
        <w:t>／∑</w:t>
      </w:r>
      <w:r>
        <w:rPr>
          <w:rFonts w:ascii="Times New Roman" w:eastAsia="方正仿宋_GBK" w:hAnsi="Times New Roman"/>
          <w:sz w:val="28"/>
          <w:szCs w:val="28"/>
        </w:rPr>
        <w:t>Ci</w:t>
      </w:r>
      <w:r>
        <w:rPr>
          <w:rFonts w:ascii="Times New Roman" w:eastAsia="方正仿宋_GBK" w:hAnsi="Times New Roman" w:hint="eastAsia"/>
          <w:sz w:val="28"/>
          <w:szCs w:val="28"/>
        </w:rPr>
        <w:t>（</w:t>
      </w:r>
      <w:r>
        <w:rPr>
          <w:rFonts w:ascii="Times New Roman" w:eastAsia="方正仿宋_GBK" w:hAnsi="Times New Roman"/>
          <w:sz w:val="28"/>
          <w:szCs w:val="28"/>
        </w:rPr>
        <w:t>1</w:t>
      </w:r>
      <w:r>
        <w:rPr>
          <w:rFonts w:ascii="Times New Roman" w:eastAsia="方正仿宋_GBK" w:hAnsi="Times New Roman" w:hint="eastAsia"/>
          <w:sz w:val="28"/>
          <w:szCs w:val="28"/>
        </w:rPr>
        <w:t>≤</w:t>
      </w:r>
      <w:r>
        <w:rPr>
          <w:rFonts w:ascii="Times New Roman" w:eastAsia="方正仿宋_GBK" w:hAnsi="Times New Roman"/>
          <w:sz w:val="28"/>
          <w:szCs w:val="28"/>
        </w:rPr>
        <w:t>i</w:t>
      </w:r>
      <w:r>
        <w:rPr>
          <w:rFonts w:ascii="Times New Roman" w:eastAsia="方正仿宋_GBK" w:hAnsi="Times New Roman" w:hint="eastAsia"/>
          <w:sz w:val="28"/>
          <w:szCs w:val="28"/>
        </w:rPr>
        <w:t>≤</w:t>
      </w:r>
      <w:r>
        <w:rPr>
          <w:rFonts w:ascii="Times New Roman" w:eastAsia="方正仿宋_GBK" w:hAnsi="Times New Roman"/>
          <w:sz w:val="28"/>
          <w:szCs w:val="28"/>
        </w:rPr>
        <w:t>n</w:t>
      </w:r>
      <w:r>
        <w:rPr>
          <w:rFonts w:ascii="Times New Roman" w:eastAsia="方正仿宋_GBK" w:hAnsi="Times New Roman" w:hint="eastAsia"/>
          <w:sz w:val="28"/>
          <w:szCs w:val="28"/>
        </w:rPr>
        <w:t>）；</w:t>
      </w:r>
    </w:p>
    <w:p>
      <w:pPr>
        <w:tabs>
          <w:tab w:val="left" w:pos="0"/>
        </w:tabs>
        <w:spacing w:line="560" w:lineRule="exact"/>
        <w:ind w:firstLineChars="200" w:firstLine="560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cs="宋体" w:hAnsi="Times New Roman" w:hint="eastAsia"/>
          <w:sz w:val="28"/>
          <w:szCs w:val="28"/>
        </w:rPr>
        <w:t>以上需对关键材料抽样拍照。</w:t>
      </w:r>
    </w:p>
    <w:p>
      <w:pPr>
        <w:spacing w:line="560" w:lineRule="exact"/>
        <w:ind w:firstLineChars="200" w:firstLine="560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8"/>
          <w:szCs w:val="28"/>
        </w:rPr>
        <w:t>（二）采用实际测定法核算单耗的，可以对企业在制品选取具有代表性的型号、数量，现场实际称量料件、成品的重量，运用称重和计算、质量检测标准、实地解剖和送检抽样成品等方法，确定单一成品与对应料件的耗用关系。自查核算单耗时引用的工艺流程图等相关资料，核实核算单耗的依据和结果是否准确。</w:t>
      </w:r>
    </w:p>
    <w:p>
      <w:pPr>
        <w:spacing w:line="560" w:lineRule="exact"/>
        <w:ind w:firstLineChars="200" w:firstLine="560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8"/>
          <w:szCs w:val="28"/>
        </w:rPr>
        <w:t>（三）采用成本分析法核算单耗的，可以利用被核查人会计账册、投料单、领料单、加工记录、仓库账册、</w:t>
      </w:r>
      <w:r>
        <w:rPr>
          <w:rFonts w:ascii="Times New Roman" w:eastAsia="方正仿宋_GBK" w:hAnsi="Times New Roman"/>
          <w:sz w:val="28"/>
          <w:szCs w:val="28"/>
        </w:rPr>
        <w:t>BOM</w:t>
      </w:r>
      <w:r>
        <w:rPr>
          <w:rFonts w:ascii="Times New Roman" w:eastAsia="方正仿宋_GBK" w:hAnsi="Times New Roman" w:hint="eastAsia"/>
          <w:sz w:val="28"/>
          <w:szCs w:val="28"/>
        </w:rPr>
        <w:t>成本核算单等料件耗用统计资料，查证被核查人核算单耗的依据和结果是否准确；</w:t>
      </w:r>
    </w:p>
    <w:p>
      <w:pPr>
        <w:spacing w:line="560" w:lineRule="exact"/>
        <w:ind w:firstLineChars="200" w:firstLine="560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8"/>
          <w:szCs w:val="28"/>
        </w:rPr>
        <w:t>成本分析法：</w:t>
      </w:r>
    </w:p>
    <w:p>
      <w:pPr>
        <w:spacing w:line="560" w:lineRule="exact"/>
        <w:ind w:firstLineChars="200" w:firstLine="560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8"/>
          <w:szCs w:val="28"/>
        </w:rPr>
        <w:t>（</w:t>
      </w:r>
      <w:r>
        <w:rPr>
          <w:rFonts w:ascii="Times New Roman" w:eastAsia="方正仿宋_GBK" w:hAnsi="Times New Roman"/>
          <w:sz w:val="28"/>
          <w:szCs w:val="28"/>
        </w:rPr>
        <w:t>1</w:t>
      </w:r>
      <w:r>
        <w:rPr>
          <w:rFonts w:ascii="Times New Roman" w:eastAsia="方正仿宋_GBK" w:hAnsi="Times New Roman" w:hint="eastAsia"/>
          <w:sz w:val="28"/>
          <w:szCs w:val="28"/>
        </w:rPr>
        <w:t>）调阅企业一定稳定生产周期内领料单、成品入库单、期初企业已领未用料件数量、期初成品未入库数量、期初半成品数量、期末企业已领未用料件数量、期末成品未入库数量、期末半成品数量、</w:t>
      </w:r>
      <w:r>
        <w:rPr>
          <w:rFonts w:ascii="Times New Roman" w:eastAsia="方正仿宋_GBK" w:hAnsi="Times New Roman"/>
          <w:sz w:val="28"/>
          <w:szCs w:val="28"/>
        </w:rPr>
        <w:t>BOM</w:t>
      </w:r>
      <w:r>
        <w:rPr>
          <w:rFonts w:ascii="Times New Roman" w:eastAsia="方正仿宋_GBK" w:hAnsi="Times New Roman" w:hint="eastAsia"/>
          <w:sz w:val="28"/>
          <w:szCs w:val="28"/>
        </w:rPr>
        <w:t>表；</w:t>
      </w:r>
    </w:p>
    <w:p>
      <w:pPr>
        <w:tabs>
          <w:tab w:val="left" w:pos="0"/>
        </w:tabs>
        <w:spacing w:line="560" w:lineRule="exact"/>
        <w:ind w:firstLineChars="200" w:firstLine="560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8"/>
          <w:szCs w:val="28"/>
        </w:rPr>
        <w:t>（</w:t>
      </w:r>
      <w:r>
        <w:rPr>
          <w:rFonts w:ascii="Times New Roman" w:eastAsia="方正仿宋_GBK" w:hAnsi="Times New Roman"/>
          <w:sz w:val="28"/>
          <w:szCs w:val="28"/>
        </w:rPr>
        <w:t>2</w:t>
      </w:r>
      <w:r>
        <w:rPr>
          <w:rFonts w:ascii="Times New Roman" w:eastAsia="方正仿宋_GBK" w:hAnsi="Times New Roman" w:hint="eastAsia"/>
          <w:sz w:val="28"/>
          <w:szCs w:val="28"/>
        </w:rPr>
        <w:t>）通过技术分析法，得出核算料件的平均净耗；</w:t>
      </w:r>
    </w:p>
    <w:p>
      <w:pPr>
        <w:tabs>
          <w:tab w:val="left" w:pos="0"/>
        </w:tabs>
        <w:spacing w:line="560" w:lineRule="exact"/>
        <w:ind w:firstLineChars="200" w:firstLine="560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8"/>
          <w:szCs w:val="28"/>
        </w:rPr>
        <w:t>（</w:t>
      </w:r>
      <w:r>
        <w:rPr>
          <w:rFonts w:ascii="Times New Roman" w:eastAsia="方正仿宋_GBK" w:hAnsi="Times New Roman"/>
          <w:sz w:val="28"/>
          <w:szCs w:val="28"/>
        </w:rPr>
        <w:t>3</w:t>
      </w:r>
      <w:r>
        <w:rPr>
          <w:rFonts w:ascii="Times New Roman" w:eastAsia="方正仿宋_GBK" w:hAnsi="Times New Roman" w:hint="eastAsia"/>
          <w:sz w:val="28"/>
          <w:szCs w:val="28"/>
        </w:rPr>
        <w:t>）由领料单、成品入库单核算出总领料数量、总成品入库数量；</w:t>
      </w:r>
    </w:p>
    <w:p>
      <w:pPr>
        <w:tabs>
          <w:tab w:val="left" w:pos="0"/>
        </w:tabs>
        <w:spacing w:line="560" w:lineRule="exact"/>
        <w:ind w:firstLineChars="200" w:firstLine="560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8"/>
          <w:szCs w:val="28"/>
        </w:rPr>
        <w:t>（</w:t>
      </w:r>
      <w:r>
        <w:rPr>
          <w:rFonts w:ascii="Times New Roman" w:eastAsia="方正仿宋_GBK" w:hAnsi="Times New Roman"/>
          <w:sz w:val="28"/>
          <w:szCs w:val="28"/>
        </w:rPr>
        <w:t>4</w:t>
      </w:r>
      <w:r>
        <w:rPr>
          <w:rFonts w:ascii="Times New Roman" w:eastAsia="方正仿宋_GBK" w:hAnsi="Times New Roman" w:hint="eastAsia"/>
          <w:sz w:val="28"/>
          <w:szCs w:val="28"/>
        </w:rPr>
        <w:t>）根据半成品现场加工程度，以</w:t>
      </w:r>
      <w:r>
        <w:rPr>
          <w:rFonts w:ascii="Times New Roman" w:eastAsia="方正仿宋_GBK" w:hAnsi="Times New Roman"/>
          <w:sz w:val="28"/>
          <w:szCs w:val="28"/>
        </w:rPr>
        <w:t>BOM</w:t>
      </w:r>
      <w:r>
        <w:rPr>
          <w:rFonts w:ascii="Times New Roman" w:eastAsia="方正仿宋_GBK" w:hAnsi="Times New Roman" w:hint="eastAsia"/>
          <w:sz w:val="28"/>
          <w:szCs w:val="28"/>
        </w:rPr>
        <w:t>表为依据，折成料件数量；</w:t>
      </w:r>
    </w:p>
    <w:p>
      <w:pPr>
        <w:tabs>
          <w:tab w:val="left" w:pos="0"/>
        </w:tabs>
        <w:spacing w:line="560" w:lineRule="exact"/>
        <w:ind w:firstLineChars="200" w:firstLine="560"/>
        <w:rPr>
          <w:rFonts w:ascii="Times New Roman" w:eastAsia="方正仿宋_GBK" w:hAnsi="Times New Roman"/>
          <w:sz w:val="28"/>
          <w:szCs w:val="28"/>
        </w:rPr>
      </w:pPr>
      <w:r>
        <w:rPr>
          <w:rFonts w:ascii="Times New Roman" w:eastAsia="方正仿宋_GBK" w:hAnsi="Times New Roman" w:hint="eastAsia"/>
          <w:sz w:val="28"/>
          <w:szCs w:val="28"/>
        </w:rPr>
        <w:t>（</w:t>
      </w:r>
      <w:r>
        <w:rPr>
          <w:rFonts w:ascii="Times New Roman" w:eastAsia="方正仿宋_GBK" w:hAnsi="Times New Roman"/>
          <w:sz w:val="28"/>
          <w:szCs w:val="28"/>
        </w:rPr>
        <w:t>5</w:t>
      </w:r>
      <w:r>
        <w:rPr>
          <w:rFonts w:ascii="Times New Roman" w:eastAsia="方正仿宋_GBK" w:hAnsi="Times New Roman" w:hint="eastAsia"/>
          <w:sz w:val="28"/>
          <w:szCs w:val="28"/>
        </w:rPr>
        <w:t>）通过公式二：</w:t>
      </w:r>
      <w:r>
        <w:rPr>
          <w:rFonts w:ascii="Times New Roman" w:eastAsia="方正仿宋_GBK" w:hAnsi="Times New Roman"/>
          <w:sz w:val="28"/>
          <w:szCs w:val="28"/>
        </w:rPr>
        <w:t>[1-</w:t>
      </w:r>
      <w:r>
        <w:rPr>
          <w:rFonts w:ascii="Times New Roman" w:eastAsia="方正仿宋_GBK" w:hAnsi="Times New Roman" w:hint="eastAsia"/>
          <w:sz w:val="28"/>
          <w:szCs w:val="28"/>
        </w:rPr>
        <w:t>（总成品入库数量</w:t>
      </w:r>
      <w:r>
        <w:rPr>
          <w:rFonts w:ascii="Times New Roman" w:eastAsia="方正仿宋_GBK" w:hAnsi="Times New Roman"/>
          <w:sz w:val="28"/>
          <w:szCs w:val="28"/>
        </w:rPr>
        <w:t>+</w:t>
      </w:r>
      <w:r>
        <w:rPr>
          <w:rFonts w:ascii="Times New Roman" w:eastAsia="方正仿宋_GBK" w:hAnsi="Times New Roman" w:hint="eastAsia"/>
          <w:sz w:val="28"/>
          <w:szCs w:val="28"/>
        </w:rPr>
        <w:t>期末成品未入库数量</w:t>
      </w:r>
      <w:r>
        <w:rPr>
          <w:rFonts w:ascii="Times New Roman" w:eastAsia="方正仿宋_GBK" w:hAnsi="Times New Roman"/>
          <w:sz w:val="28"/>
          <w:szCs w:val="28"/>
        </w:rPr>
        <w:t>-</w:t>
      </w:r>
      <w:r>
        <w:rPr>
          <w:rFonts w:ascii="Times New Roman" w:eastAsia="方正仿宋_GBK" w:hAnsi="Times New Roman" w:hint="eastAsia"/>
          <w:sz w:val="28"/>
          <w:szCs w:val="28"/>
        </w:rPr>
        <w:t>期初成品未入库数量）×平均净耗</w:t>
      </w:r>
      <w:r>
        <w:rPr>
          <w:rFonts w:ascii="Times New Roman" w:eastAsia="方正仿宋_GBK" w:hAnsi="Times New Roman"/>
          <w:sz w:val="28"/>
          <w:szCs w:val="28"/>
        </w:rPr>
        <w:t>/</w:t>
      </w:r>
      <w:r>
        <w:rPr>
          <w:rFonts w:ascii="Times New Roman" w:eastAsia="方正仿宋_GBK" w:hAnsi="Times New Roman" w:hint="eastAsia"/>
          <w:sz w:val="28"/>
          <w:szCs w:val="28"/>
        </w:rPr>
        <w:t>（总领料数量</w:t>
      </w:r>
      <w:r>
        <w:rPr>
          <w:rFonts w:ascii="Times New Roman" w:eastAsia="方正仿宋_GBK" w:hAnsi="Times New Roman"/>
          <w:sz w:val="28"/>
          <w:szCs w:val="28"/>
        </w:rPr>
        <w:t>+</w:t>
      </w:r>
      <w:r>
        <w:rPr>
          <w:rFonts w:ascii="Times New Roman" w:eastAsia="方正仿宋_GBK" w:hAnsi="Times New Roman" w:hint="eastAsia"/>
          <w:sz w:val="28"/>
          <w:szCs w:val="28"/>
        </w:rPr>
        <w:t>期初企业已领未用料件数量</w:t>
      </w:r>
      <w:r>
        <w:rPr>
          <w:rFonts w:ascii="Times New Roman" w:eastAsia="方正仿宋_GBK" w:hAnsi="Times New Roman"/>
          <w:sz w:val="28"/>
          <w:szCs w:val="28"/>
        </w:rPr>
        <w:t>+</w:t>
      </w:r>
      <w:r>
        <w:rPr>
          <w:rFonts w:ascii="Times New Roman" w:eastAsia="方正仿宋_GBK" w:hAnsi="Times New Roman" w:hint="eastAsia"/>
          <w:sz w:val="28"/>
          <w:szCs w:val="28"/>
        </w:rPr>
        <w:t>期初半成品折料件数量</w:t>
      </w:r>
      <w:r>
        <w:rPr>
          <w:rFonts w:ascii="Times New Roman" w:eastAsia="方正仿宋_GBK" w:hAnsi="Times New Roman"/>
          <w:sz w:val="28"/>
          <w:szCs w:val="28"/>
        </w:rPr>
        <w:t>-</w:t>
      </w:r>
      <w:r>
        <w:rPr>
          <w:rFonts w:ascii="Times New Roman" w:eastAsia="方正仿宋_GBK" w:hAnsi="Times New Roman" w:hint="eastAsia"/>
          <w:sz w:val="28"/>
          <w:szCs w:val="28"/>
        </w:rPr>
        <w:t>期末企业已领未用料件数量</w:t>
      </w:r>
      <w:r>
        <w:rPr>
          <w:rFonts w:ascii="Times New Roman" w:eastAsia="方正仿宋_GBK" w:hAnsi="Times New Roman"/>
          <w:sz w:val="28"/>
          <w:szCs w:val="28"/>
        </w:rPr>
        <w:t>-</w:t>
      </w:r>
      <w:r>
        <w:rPr>
          <w:rFonts w:ascii="Times New Roman" w:eastAsia="方正仿宋_GBK" w:hAnsi="Times New Roman" w:hint="eastAsia"/>
          <w:sz w:val="28"/>
          <w:szCs w:val="28"/>
        </w:rPr>
        <w:t>期末半成品折料件数量）</w:t>
      </w:r>
      <w:r>
        <w:rPr>
          <w:rFonts w:ascii="Times New Roman" w:eastAsia="方正仿宋_GBK" w:hAnsi="Times New Roman"/>
          <w:sz w:val="28"/>
          <w:szCs w:val="28"/>
        </w:rPr>
        <w:t>]</w:t>
      </w:r>
      <w:r>
        <w:rPr>
          <w:rFonts w:ascii="Times New Roman" w:eastAsia="方正仿宋_GBK" w:hAnsi="Times New Roman" w:hint="eastAsia"/>
          <w:sz w:val="28"/>
          <w:szCs w:val="28"/>
        </w:rPr>
        <w:t>×</w:t>
      </w:r>
      <w:r>
        <w:rPr>
          <w:rFonts w:ascii="Times New Roman" w:eastAsia="方正仿宋_GBK" w:hAnsi="Times New Roman"/>
          <w:sz w:val="28"/>
          <w:szCs w:val="28"/>
        </w:rPr>
        <w:t>100%</w:t>
      </w:r>
      <w:r>
        <w:rPr>
          <w:rFonts w:ascii="Times New Roman" w:eastAsia="方正仿宋_GBK" w:hAnsi="Times New Roman" w:hint="eastAsia"/>
          <w:sz w:val="28"/>
          <w:szCs w:val="28"/>
        </w:rPr>
        <w:t>，算出核算料件的损耗；</w:t>
      </w:r>
    </w:p>
    <w:p>
      <w:pPr>
        <w:spacing w:line="560" w:lineRule="exact"/>
        <w:ind w:firstLineChars="200" w:firstLine="560"/>
        <w:rPr>
          <w:rFonts w:ascii="Times New Roman" w:eastAsia="方正仿宋_GBK" w:cs="宋体" w:hAnsi="Times New Roman"/>
          <w:sz w:val="28"/>
          <w:szCs w:val="28"/>
        </w:rPr>
      </w:pPr>
      <w:r>
        <w:rPr>
          <w:rFonts w:ascii="Times New Roman" w:eastAsia="方正仿宋_GBK" w:cs="宋体" w:hAnsi="Times New Roman" w:hint="eastAsia"/>
          <w:sz w:val="28"/>
          <w:szCs w:val="28"/>
        </w:rPr>
        <w:t>以上需对关键材料抽样拍照。</w:t>
      </w:r>
    </w:p>
    <w:p>
      <w:pPr>
        <w:spacing w:line="560" w:lineRule="exact"/>
      </w:pPr>
    </w:p>
    <w:sectPr>
      <w:pgSz w:w="11906" w:h="16838"/>
      <w:pgMar w:top="1440" w:right="189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黑体_GBK">
    <w:altName w:val="Microsoft YaHei UI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xi Sans">
    <w:altName w:val="Times New Roman"/>
    <w:panose1 w:val="00000000000000000000"/>
    <w:charset w:val="00"/>
    <w:family w:val="auto"/>
    <w:pitch w:val="variable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仿宋简体">
    <w:altName w:val="Times New Roman"/>
    <w:panose1 w:val="00000000000000000000"/>
    <w:charset w:val="00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E1B07AC6"/>
    <w:multiLevelType w:val="singleLevel"/>
    <w:tmpl w:val="E1B07AC6"/>
    <w:lvl w:ilvl="0">
      <w:start w:val="8"/>
      <w:numFmt w:val="decimal"/>
      <w:lvlRestart w:val="0"/>
      <w:suff w:val="space"/>
      <w:lvlText w:val="%1."/>
      <w:lvlJc w:val="left"/>
      <w:pPr>
        <w:ind w:left="0" w:hanging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  <w:docVars>
    <w:docVar w:name="commondata" w:val="eyJoZGlkIjoiZGYyZjhjZGFkYjQ2ZGNjODIxOTM3Yzk4YjZlZWVhMGM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5"/>
    <w:next w:val="0"/>
    <w:pPr>
      <w:widowControl w:val="0"/>
      <w:ind w:left="168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styleId="16">
    <w:name w:val="List Bullet"/>
    <w:basedOn w:val="0"/>
    <w:pPr>
      <w:tabs>
        <w:tab w:val="left" w:pos="720"/>
      </w:tabs>
      <w:ind w:left="200" w:hangingChars="200" w:hanging="200"/>
      <w:contextualSpacing/>
    </w:pPr>
  </w:style>
  <w:style w:type="paragraph" w:styleId="17">
    <w:name w:val="toc 5"/>
    <w:basedOn w:val="0"/>
    <w:next w:val="0"/>
    <w:pPr>
      <w:ind w:left="1680"/>
    </w:pPr>
  </w:style>
  <w:style w:type="paragraph" w:styleId="18">
    <w:name w:val="Balloon Text"/>
    <w:basedOn w:val="0"/>
    <w:rPr>
      <w:sz w:val="18"/>
      <w:szCs w:val="18"/>
    </w:rPr>
  </w:style>
  <w:style w:type="paragraph" w:styleId="19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List Continue 4"/>
    <w:basedOn w:val="0"/>
    <w:pPr>
      <w:spacing w:after="120"/>
      <w:ind w:leftChars="800" w:left="800"/>
      <w:contextualSpacing/>
    </w:pPr>
  </w:style>
  <w:style w:type="paragraph" w:styleId="22">
    <w:name w:val="List"/>
    <w:basedOn w:val="0"/>
    <w:pPr>
      <w:ind w:left="200" w:hangingChars="200" w:hanging="200"/>
      <w:contextualSpacing/>
    </w:pPr>
  </w:style>
  <w:style w:type="paragraph" w:styleId="23">
    <w:name w:val="index 7"/>
    <w:basedOn w:val="0"/>
    <w:next w:val="0"/>
    <w:pPr>
      <w:ind w:leftChars="1200" w:left="1200"/>
    </w:pPr>
  </w:style>
  <w:style w:type="paragraph" w:styleId="24">
    <w:name w:val="List 4"/>
    <w:basedOn w:val="0"/>
    <w:pPr>
      <w:ind w:leftChars="600" w:left="800" w:hangingChars="200" w:hanging="200"/>
      <w:contextualSpacing/>
    </w:pPr>
  </w:style>
  <w:style w:type="character" w:styleId="25">
    <w:name w:val="Hyperlink"/>
    <w:basedOn w:val="10"/>
    <w:rPr>
      <w:color w:val="0000FF"/>
      <w:u w:val="single"/>
    </w:rPr>
  </w:style>
  <w:style w:type="paragraph" w:customStyle="1" w:styleId="26">
    <w:name w:val="样式 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">
    <w:name w:val="样式 10 磅63"/>
    <w:next w:val="2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8">
    <w:name w:val="正文54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">
    <w:name w:val="样式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">
    <w:name w:val="样式 81 10 磅"/>
    <w:next w:val="2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">
    <w:name w:val="样式 1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">
    <w:name w:val="样式 2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">
    <w:name w:val="样式 2 三号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">
    <w:name w:val="样式 27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">
    <w:name w:val="样式 2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">
    <w:name w:val="样式 14 10 磅1"/>
    <w:next w:val="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37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8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9">
    <w:name w:val="样式 1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0">
    <w:name w:val="样式 4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">
    <w:name w:val="样式 5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样式 5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5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5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5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5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样式 5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8">
    <w:name w:val="样式 5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">
    <w:name w:val="样式 5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">
    <w:name w:val="样式 5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1">
    <w:name w:val="样式 6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样式 6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样式 6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9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9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">
    <w:name w:val="样式 9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7">
    <w:name w:val="样式 9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9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0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1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2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3">
    <w:name w:val="样式 4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4">
    <w:name w:val="样式 4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4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">
    <w:name w:val="样式 6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7">
    <w:name w:val="样式 9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8">
    <w:name w:val="样式 10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9">
    <w:name w:val="样式 10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0">
    <w:name w:val="正文1"/>
    <w:next w:val="23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71">
    <w:name w:val="样式 1 小四"/>
    <w:next w:val="16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72">
    <w:name w:val="样式 小四"/>
    <w:next w:val="22"/>
    <w:rPr>
      <w:rFonts w:ascii="Times New Roman" w:eastAsia="宋体" w:cs="Times New Roman" w:hAnsi="Times New Roman"/>
      <w:sz w:val="24"/>
      <w:szCs w:val="24"/>
      <w:lang w:val="en-US" w:eastAsia="en-US" w:bidi="ar-SA"/>
    </w:rPr>
  </w:style>
  <w:style w:type="paragraph" w:customStyle="1" w:styleId="73">
    <w:name w:val="样式 6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4">
    <w:name w:val="样式 6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5">
    <w:name w:val="样式 6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76">
    <w:name w:val="toc 3"/>
    <w:basedOn w:val="0"/>
    <w:autoRedefine/>
    <w:next w:val="0"/>
    <w:pPr>
      <w:ind w:left="840"/>
    </w:pPr>
  </w:style>
  <w:style w:type="paragraph" w:styleId="77">
    <w:name w:val="Normal Indent"/>
    <w:basedOn w:val="0"/>
    <w:pPr>
      <w:ind w:firstLine="420"/>
    </w:pPr>
  </w:style>
  <w:style w:type="paragraph" w:styleId="78">
    <w:name w:val="footnote text"/>
    <w:basedOn w:val="0"/>
    <w:pPr>
      <w:snapToGrid w:val="0"/>
      <w:jc w:val="left"/>
    </w:pPr>
    <w:rPr>
      <w:sz w:val="18"/>
      <w:szCs w:val="18"/>
    </w:rPr>
  </w:style>
  <w:style w:type="paragraph" w:styleId="79">
    <w:name w:val="annotation text"/>
    <w:basedOn w:val="0"/>
    <w:pPr>
      <w:jc w:val="left"/>
    </w:pPr>
  </w:style>
  <w:style w:type="paragraph" w:styleId="80">
    <w:name w:val="table of figures"/>
    <w:basedOn w:val="0"/>
    <w:next w:val="0"/>
  </w:style>
  <w:style w:type="paragraph" w:styleId="81">
    <w:name w:val="envelope address"/>
    <w:basedOn w:val="0"/>
    <w:pPr>
      <w:snapToGrid w:val="0"/>
      <w:ind w:left="2880"/>
    </w:pPr>
    <w:rPr>
      <w:rFonts w:ascii="Arial" w:hAnsi="Arial"/>
      <w:sz w:val="24"/>
      <w:szCs w:val="24"/>
    </w:rPr>
  </w:style>
  <w:style w:type="paragraph" w:styleId="82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83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4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5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6">
    <w:name w:val="样式 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7">
    <w:name w:val="样式 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8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9">
    <w:name w:val="样式 65 10 磅"/>
    <w:next w:val="7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0">
    <w:name w:val="样式 87 10 磅"/>
    <w:next w:val="7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1">
    <w:name w:val="样式 77 10 磅"/>
    <w:next w:val="7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52">
    <w:name w:val="Normal (Web)"/>
    <w:next w:val="26"/>
    <w:pPr>
      <w:widowControl w:val="0"/>
      <w:jc w:val="both"/>
    </w:pPr>
    <w:rPr>
      <w:rFonts w:ascii="Times New Roman" w:eastAsia="方正仿宋_GBK" w:cs="Times New Roman" w:hAnsi="Times New Roman"/>
      <w:kern w:val="2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44</TotalTime>
  <Application>Yozo_Office</Application>
  <Pages>8</Pages>
  <Words>2536</Words>
  <Characters>2615</Characters>
  <Lines>206</Lines>
  <Paragraphs>129</Paragraphs>
  <CharactersWithSpaces>2684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</dc:creator>
  <cp:lastModifiedBy>曹昱芳</cp:lastModifiedBy>
  <cp:revision>13</cp:revision>
  <dcterms:created xsi:type="dcterms:W3CDTF">2024-10-24T06:30:00Z</dcterms:created>
  <dcterms:modified xsi:type="dcterms:W3CDTF">2025-03-06T07:12:55Z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2052-12.1.0.15990</vt:lpwstr>
  </property>
  <property fmtid="{D5CDD505-2E9C-101B-9397-08002B2CF9AE}" pid="3" name="ICV">
    <vt:lpwstr>2A8A1FE3C3F44EDE8CEFA13673AC2114</vt:lpwstr>
  </property>
</Properties>
</file>