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bookmarkStart w:id="1" w:name="进口食品化妆品进口商核查标准化作业表"/>
      <w:bookmarkStart w:id="2" w:name="_Toc62389155"/>
      <w:bookmarkStart w:id="3" w:name="_Toc64947697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（保税盘库核查）</w:t>
      </w:r>
      <w:bookmarkEnd w:id="0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75"/>
        <w:widowControl/>
        <w:spacing w:line="560" w:lineRule="exact"/>
        <w:rPr>
          <w:rFonts w:eastAsia="方正小标宋_GBK"/>
          <w:sz w:val="28"/>
          <w:szCs w:val="28"/>
        </w:rPr>
      </w:pPr>
      <w:bookmarkEnd w:id="1"/>
      <w:bookmarkEnd w:id="2"/>
      <w:r>
        <w:rPr>
          <w:rFonts w:eastAsia="方正小标宋_GBK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76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78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9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8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8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  型</w:t>
            </w:r>
          </w:p>
        </w:tc>
        <w:tc>
          <w:tcPr>
            <w:tcW w:w="2309" w:type="dxa"/>
            <w:vAlign w:val="center"/>
          </w:tcPr>
          <w:p>
            <w:pPr>
              <w:pStyle w:val="8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86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8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8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86"/>
              <w:widowControl w:val="0"/>
              <w:spacing w:before="0" w:after="0" w:line="0" w:lineRule="atLeast"/>
              <w:jc w:val="center"/>
              <w:outlineLvl w:val="9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cs="Arial" w:hint="eastAsia"/>
                <w:kern w:val="2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7"/>
              <w:spacing w:line="480" w:lineRule="exact"/>
              <w:ind w:left="3360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9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1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92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02"/>
        </w:trPr>
        <w:tc>
          <w:tcPr>
            <w:tcW w:w="1578" w:type="dxa"/>
            <w:vAlign w:val="center"/>
          </w:tcPr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9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1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92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93"/>
              <w:spacing w:line="44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（可根据实际填写）对保税仓库、出口监管仓库保税货物</w:t>
            </w:r>
            <w:r>
              <w:rPr>
                <w:rFonts w:eastAsia="方正仿宋_GBK" w:hint="eastAsia"/>
                <w:sz w:val="24"/>
                <w:szCs w:val="24"/>
              </w:rPr>
              <w:t>、</w:t>
            </w:r>
            <w:r>
              <w:rPr>
                <w:rFonts w:eastAsia="方正仿宋_GBK"/>
                <w:sz w:val="24"/>
                <w:szCs w:val="24"/>
              </w:rPr>
              <w:t>联网监管企业一定周期内保税货物</w:t>
            </w:r>
            <w:r>
              <w:rPr>
                <w:rFonts w:eastAsia="方正仿宋_GBK" w:hint="eastAsia"/>
                <w:sz w:val="24"/>
                <w:szCs w:val="24"/>
              </w:rPr>
              <w:t>、</w:t>
            </w:r>
            <w:r>
              <w:rPr>
                <w:rFonts w:eastAsia="方正仿宋_GBK"/>
                <w:sz w:val="24"/>
                <w:szCs w:val="24"/>
              </w:rPr>
              <w:t>以企业为单元监管模式企业一定周期内保税货物</w:t>
            </w:r>
            <w:r>
              <w:rPr>
                <w:rFonts w:eastAsia="方正仿宋_GBK" w:hint="eastAsia"/>
                <w:sz w:val="24"/>
                <w:szCs w:val="24"/>
              </w:rPr>
              <w:t>、</w:t>
            </w:r>
            <w:r>
              <w:rPr>
                <w:rFonts w:eastAsia="方正仿宋_GBK"/>
                <w:sz w:val="24"/>
                <w:szCs w:val="24"/>
              </w:rPr>
              <w:t>海关特殊监管区域内企业保税货物（包括跨境电商网购保税进口商品）</w:t>
            </w:r>
            <w:r>
              <w:rPr>
                <w:rFonts w:eastAsia="方正仿宋_GBK" w:hint="eastAsia"/>
                <w:sz w:val="24"/>
                <w:szCs w:val="24"/>
              </w:rPr>
              <w:t>、</w:t>
            </w:r>
            <w:r>
              <w:rPr>
                <w:rFonts w:eastAsia="方正仿宋_GBK"/>
                <w:sz w:val="24"/>
                <w:szCs w:val="24"/>
              </w:rPr>
              <w:t>保税物流中心内企业保税货物（包括跨境电商网购保税进口商品）</w:t>
            </w:r>
            <w:r>
              <w:rPr>
                <w:rFonts w:eastAsia="方正仿宋_GBK" w:hint="eastAsia"/>
                <w:sz w:val="24"/>
                <w:szCs w:val="24"/>
              </w:rPr>
              <w:t>、</w:t>
            </w:r>
            <w:r>
              <w:rPr>
                <w:rFonts w:eastAsia="方正仿宋_GBK"/>
                <w:sz w:val="24"/>
                <w:szCs w:val="24"/>
              </w:rPr>
              <w:t>钻交所内企业保税货物实际库存进行核实。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9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9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2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9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</w:tr>
    </w:tbl>
    <w:p>
      <w:pPr>
        <w:pStyle w:val="41"/>
        <w:widowControl/>
        <w:spacing w:line="560" w:lineRule="exact"/>
        <w:jc w:val="center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41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100"/>
      </w:pPr>
    </w:p>
    <w:p>
      <w:pPr>
        <w:pStyle w:val="101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10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03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105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106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98"/>
        <w:rPr>
          <w:rFonts w:eastAsia="方正小标宋_GBK"/>
          <w:sz w:val="28"/>
          <w:szCs w:val="28"/>
        </w:rPr>
      </w:pPr>
    </w:p>
    <w:p>
      <w:pPr>
        <w:pStyle w:val="15"/>
      </w:pPr>
    </w:p>
    <w:p/>
    <w:p/>
    <w:p/>
    <w:p>
      <w:pPr>
        <w:pStyle w:val="94"/>
        <w:widowControl/>
        <w:jc w:val="left"/>
        <w:rPr>
          <w:shd w:val="clear" w:color="auto" w:fill="auto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tblpPr w:leftFromText="180" w:rightFromText="180" w:vertAnchor="text" w:horzAnchor="page" w:tblpX="1809" w:tblpY="31"/>
        <w:tblOverlap w:val="never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514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7"/>
              <w:spacing w:line="400" w:lineRule="exact"/>
              <w:jc w:val="center"/>
              <w:rPr>
                <w:rFonts w:ascii="方正楷体_GBK" w:eastAsia="方正楷体_GBK" w:cs="Times New Roman" w:hint="eastAsia"/>
                <w:sz w:val="32"/>
                <w:szCs w:val="32"/>
                <w:shd w:val="clear" w:color="auto" w:fill="auto"/>
              </w:rPr>
            </w:pPr>
            <w:r>
              <w:rPr>
                <w:rFonts w:ascii="方正楷体_GBK" w:eastAsia="方正楷体_GBK" w:cs="Times New Roman" w:hint="eastAsia"/>
                <w:sz w:val="32"/>
                <w:szCs w:val="32"/>
                <w:shd w:val="clear" w:color="auto" w:fill="auto"/>
              </w:rPr>
              <w:t>自查经办人及职务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ind w:firstLineChars="200" w:firstLine="560"/>
              <w:jc w:val="lef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 xml:space="preserve">   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7"/>
              <w:spacing w:line="400" w:lineRule="exact"/>
              <w:jc w:val="center"/>
              <w:rPr>
                <w:rFonts w:ascii="方正楷体_GBK" w:eastAsia="方正楷体_GBK" w:cs="Times New Roman" w:hint="eastAsia"/>
                <w:sz w:val="32"/>
                <w:szCs w:val="32"/>
                <w:shd w:val="clear" w:color="auto" w:fill="auto"/>
              </w:rPr>
            </w:pPr>
            <w:r>
              <w:rPr>
                <w:rFonts w:ascii="方正楷体_GBK" w:eastAsia="方正楷体_GBK" w:cs="Times New Roman" w:hint="eastAsia"/>
                <w:sz w:val="32"/>
                <w:szCs w:val="32"/>
                <w:shd w:val="clear" w:color="auto" w:fill="auto"/>
              </w:rPr>
              <w:t>自查地点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7"/>
              <w:spacing w:line="400" w:lineRule="exact"/>
              <w:jc w:val="center"/>
              <w:rPr>
                <w:rFonts w:ascii="方正楷体_GBK" w:eastAsia="方正楷体_GBK" w:cs="Times New Roman" w:hint="eastAsia"/>
                <w:sz w:val="32"/>
                <w:szCs w:val="32"/>
                <w:shd w:val="clear" w:color="auto" w:fill="auto"/>
              </w:rPr>
            </w:pPr>
            <w:r>
              <w:rPr>
                <w:rFonts w:ascii="方正楷体_GBK" w:eastAsia="方正楷体_GBK" w:cs="Times New Roman" w:hint="eastAsia"/>
                <w:sz w:val="32"/>
                <w:szCs w:val="32"/>
                <w:shd w:val="clear" w:color="auto" w:fill="auto"/>
              </w:rPr>
              <w:t>自查时间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ind w:firstLineChars="200" w:firstLine="560"/>
              <w:jc w:val="lef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保税仓库、出口监管仓库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自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查1-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项，其他企业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自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查1-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、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、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项。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（说明：在执行手账册（周期）内保税加工业务开展情况，可另附页。）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3．是否查看</w:t>
            </w:r>
            <w:r>
              <w:rPr>
                <w:rFonts w:eastAsia="方正仿宋_GBK"/>
                <w:sz w:val="28"/>
                <w:szCs w:val="28"/>
              </w:rPr>
              <w:t>保税仓库、出口监管仓库</w:t>
            </w:r>
            <w:r>
              <w:rPr>
                <w:rFonts w:eastAsia="方正仿宋_GBK" w:hint="eastAsia"/>
                <w:sz w:val="28"/>
                <w:szCs w:val="28"/>
              </w:rPr>
              <w:t>面积规划：</w:t>
            </w:r>
          </w:p>
          <w:p>
            <w:pPr>
              <w:pStyle w:val="37"/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（说明：查看现有保税仓库、出口监管仓库总体布局与企业验收申请是否相符，如外形（长方形、正方形、不规则形状等）与平面图明显不符，企业应重新测量面积。如勾选“是”，请对仓库空间拍照记录。）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4．是否查看</w:t>
            </w:r>
            <w:r>
              <w:rPr>
                <w:rFonts w:eastAsia="方正仿宋_GBK"/>
                <w:sz w:val="28"/>
                <w:szCs w:val="28"/>
              </w:rPr>
              <w:t>保税仓库、出口监管仓库</w:t>
            </w:r>
            <w:r>
              <w:rPr>
                <w:rFonts w:eastAsia="方正仿宋_GBK" w:hint="eastAsia"/>
                <w:sz w:val="28"/>
                <w:szCs w:val="28"/>
              </w:rPr>
              <w:t>安全隔离设施、监管设施和办理业务必需的其他设施：</w:t>
            </w:r>
          </w:p>
          <w:p>
            <w:pPr>
              <w:pStyle w:val="37"/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（说明：根据企业资料，核对保税仓库、出口监管仓库安全隔离设施、监管设施和办理业务必需的其他设施实际情况。如勾选“是”，应拍照记录。）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5．是否查看</w:t>
            </w:r>
            <w:r>
              <w:rPr>
                <w:rFonts w:eastAsia="方正仿宋_GBK"/>
                <w:sz w:val="28"/>
                <w:szCs w:val="28"/>
              </w:rPr>
              <w:t>保税仓库、出口监管仓库</w:t>
            </w:r>
            <w:r>
              <w:rPr>
                <w:rFonts w:eastAsia="方正仿宋_GBK" w:hint="eastAsia"/>
                <w:sz w:val="28"/>
                <w:szCs w:val="28"/>
              </w:rPr>
              <w:t>实际地址及仓库使用情况：</w:t>
            </w:r>
          </w:p>
          <w:p>
            <w:pPr>
              <w:pStyle w:val="37"/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（说明：应检查保税仓库、出口监管仓库地址、使用用途是否与企业验收申请相符。如勾选“是”，应拍照记录。）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6．是否查看</w:t>
            </w:r>
            <w:r>
              <w:rPr>
                <w:rFonts w:eastAsia="方正仿宋_GBK"/>
                <w:sz w:val="28"/>
                <w:szCs w:val="28"/>
              </w:rPr>
              <w:t>保税仓库、出口监管仓库</w:t>
            </w:r>
            <w:r>
              <w:rPr>
                <w:rFonts w:eastAsia="方正仿宋_GBK" w:hint="eastAsia"/>
                <w:sz w:val="28"/>
                <w:szCs w:val="28"/>
              </w:rPr>
              <w:t>与海关联网的计算机管理系统：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7．是否对货物</w:t>
            </w:r>
            <w:r>
              <w:rPr>
                <w:rFonts w:eastAsia="方正仿宋_GBK"/>
                <w:sz w:val="28"/>
                <w:szCs w:val="28"/>
              </w:rPr>
              <w:t>（包括跨境电商网购保税进口商品）</w:t>
            </w:r>
            <w:r>
              <w:rPr>
                <w:rFonts w:eastAsia="方正仿宋_GBK" w:hint="eastAsia"/>
                <w:sz w:val="28"/>
                <w:szCs w:val="28"/>
              </w:rPr>
              <w:t>进行检查：</w:t>
            </w:r>
          </w:p>
          <w:p>
            <w:pPr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对保税仓库、出口监管仓库货物进行清点，数量较多的可进行抽查但需拍照记录；海关核查组要求查看保税仓库、出口监管仓库所存货物损坏、变质、灭失情况的，拍照记录或提交相关证据材料；对跨境电商网购保税进口商品进行清点，数量较多的可进行抽查但需对发现的异常情况拍照记录；对跨境电商网购保税进口商品检查需填制《跨境电商网购保税进口商品自查记录》（见附表），检查发现异常的（该附表9、10项出现填“是”的情况，或其余项出现填“否”的情况）。对联网监管企业一定周期内保税货物的盘核，抽查盘点的保税货物价值不低于当次核销盘库全部保税货物总值的25%。）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8．</w:t>
            </w:r>
            <w:r>
              <w:rPr>
                <w:rFonts w:eastAsia="方正仿宋_GBK"/>
                <w:sz w:val="28"/>
                <w:szCs w:val="28"/>
              </w:rPr>
              <w:t>是否对盘核结果进行分析</w:t>
            </w:r>
            <w:r>
              <w:rPr>
                <w:rFonts w:eastAsia="方正仿宋_GBK" w:hint="eastAsia"/>
                <w:sz w:val="28"/>
                <w:szCs w:val="28"/>
              </w:rPr>
              <w:t>：</w:t>
            </w:r>
          </w:p>
          <w:p>
            <w:pPr>
              <w:pStyle w:val="37"/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（说明：结合盘库结果，对数量差异进行分析研判，并反馈相关结论。无法比对的，勾选“不适用”。）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37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</w:t>
            </w:r>
          </w:p>
        </w:tc>
      </w:tr>
      <w:tr>
        <w:trPr>
          <w:trHeight w:val="1851"/>
        </w:trPr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95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95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95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95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560" w:lineRule="exact"/>
              <w:ind w:left="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页</w:t>
            </w:r>
          </w:p>
        </w:tc>
      </w:tr>
      <w:tr>
        <w:trPr>
          <w:trHeight w:val="926"/>
        </w:trPr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96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三、</w:t>
            </w:r>
            <w:r>
              <w:rPr>
                <w:rFonts w:eastAsia="方正黑体_GBK" w:hint="eastAsia"/>
                <w:sz w:val="28"/>
                <w:szCs w:val="28"/>
              </w:rPr>
              <w:t>自查结果：</w:t>
            </w:r>
          </w:p>
          <w:p>
            <w:pPr>
              <w:pStyle w:val="96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○未发现问题</w:t>
            </w:r>
          </w:p>
          <w:p>
            <w:pPr>
              <w:pStyle w:val="96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○发现问题，描述：</w:t>
            </w:r>
          </w:p>
          <w:p>
            <w:pPr>
              <w:pStyle w:val="96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</w:p>
          <w:p>
            <w:pPr>
              <w:pStyle w:val="96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对照自查内容，我公司实施自查，发现</w:t>
            </w:r>
            <w:r>
              <w:rPr>
                <w:rFonts w:eastAsia="方正仿宋_GBK" w:hint="eastAsia"/>
                <w:b/>
                <w:sz w:val="28"/>
              </w:rPr>
              <w:t>存在/不存在</w:t>
            </w:r>
            <w:r>
              <w:rPr>
                <w:rFonts w:eastAsia="方正仿宋_GBK" w:hint="eastAsia"/>
                <w:sz w:val="28"/>
              </w:rPr>
              <w:t>违反海关监管规定的情形，现报告如下：</w:t>
            </w:r>
          </w:p>
          <w:p>
            <w:pPr>
              <w:pStyle w:val="96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96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96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eastAsia="方正仿宋_GBK" w:hint="eastAsia"/>
                <w:sz w:val="28"/>
              </w:rPr>
              <w:t>（可另附企业自查情况说明资料）</w:t>
            </w:r>
          </w:p>
        </w:tc>
      </w:tr>
      <w:tr>
        <w:trPr>
          <w:trHeight w:val="934"/>
        </w:trPr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56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jc w:val="righ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34"/>
        </w:trPr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备注：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</w:tbl>
    <w:p>
      <w:pPr>
        <w:spacing w:line="560" w:lineRule="exact"/>
        <w:ind w:firstLine="630"/>
        <w:rPr>
          <w:rFonts w:ascii="Times New Roman" w:eastAsia="方正仿宋_GBK" w:hAnsi="Times New Roman"/>
          <w:b/>
          <w:bCs/>
          <w:sz w:val="28"/>
          <w:szCs w:val="28"/>
        </w:rPr>
      </w:pPr>
    </w:p>
    <w:p>
      <w:pPr>
        <w:pStyle w:val="46"/>
        <w:spacing w:line="560" w:lineRule="exact"/>
        <w:rPr>
          <w:rFonts w:ascii="Times New Roman" w:eastAsia="方正黑体_GBK" w:hAnsi="Times New Roman"/>
          <w:bCs/>
          <w:sz w:val="32"/>
          <w:szCs w:val="32"/>
        </w:rPr>
      </w:pPr>
      <w:bookmarkEnd w:id="3"/>
    </w:p>
    <w:p>
      <w:pPr>
        <w:pStyle w:val="46"/>
        <w:spacing w:line="560" w:lineRule="exact"/>
        <w:rPr>
          <w:rFonts w:ascii="Times New Roman" w:eastAsia="方正黑体_GBK" w:hAnsi="Times New Roman"/>
          <w:bCs/>
          <w:sz w:val="32"/>
          <w:szCs w:val="32"/>
        </w:rPr>
      </w:pPr>
    </w:p>
    <w:p>
      <w:pPr>
        <w:pStyle w:val="46"/>
        <w:spacing w:line="560" w:lineRule="exact"/>
        <w:rPr>
          <w:rFonts w:ascii="Times New Roman" w:eastAsia="方正黑体_GBK" w:hAnsi="Times New Roman"/>
          <w:bCs/>
          <w:sz w:val="32"/>
          <w:szCs w:val="32"/>
        </w:rPr>
      </w:pPr>
      <w:bookmarkStart w:id="4" w:name="_GoBack"/>
      <w:bookmarkEnd w:id="4"/>
    </w:p>
    <w:p>
      <w:pPr>
        <w:pStyle w:val="46"/>
        <w:spacing w:line="560" w:lineRule="exact"/>
        <w:rPr>
          <w:rFonts w:ascii="Times New Roman" w:eastAsia="方正黑体_GBK" w:hAnsi="Times New Roman"/>
          <w:bCs/>
          <w:sz w:val="32"/>
          <w:szCs w:val="32"/>
        </w:rPr>
      </w:pPr>
    </w:p>
    <w:p>
      <w:pPr>
        <w:pStyle w:val="46"/>
        <w:spacing w:line="560" w:lineRule="exact"/>
        <w:rPr>
          <w:rFonts w:ascii="Times New Roman" w:eastAsia="方正黑体_GBK" w:hAnsi="Times New Roman"/>
          <w:bCs/>
          <w:sz w:val="32"/>
          <w:szCs w:val="32"/>
        </w:rPr>
      </w:pPr>
    </w:p>
    <w:p>
      <w:pPr>
        <w:pStyle w:val="46"/>
        <w:spacing w:line="560" w:lineRule="exact"/>
        <w:rPr>
          <w:rFonts w:ascii="Times New Roman" w:eastAsia="方正黑体_GBK" w:hAnsi="Times New Roman"/>
          <w:bCs/>
          <w:sz w:val="32"/>
          <w:szCs w:val="32"/>
        </w:rPr>
      </w:pPr>
    </w:p>
    <w:p>
      <w:pPr>
        <w:pStyle w:val="46"/>
        <w:spacing w:line="560" w:lineRule="exact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黑体_GBK" w:hAnsi="Times New Roman" w:hint="eastAsia"/>
          <w:bCs/>
          <w:sz w:val="32"/>
          <w:szCs w:val="32"/>
        </w:rPr>
        <w:t>附表</w:t>
      </w:r>
    </w:p>
    <w:p>
      <w:pPr>
        <w:pStyle w:val="47"/>
        <w:tabs>
          <w:tab w:val="left" w:pos="0"/>
        </w:tabs>
        <w:adjustRightInd w:val="0"/>
        <w:snapToGrid w:val="0"/>
        <w:spacing w:line="580" w:lineRule="exact"/>
        <w:jc w:val="center"/>
        <w:rPr>
          <w:rFonts w:ascii="Times New Roman" w:eastAsia="方正仿宋_GBK" w:hAnsi="Times New Roman"/>
          <w:sz w:val="28"/>
        </w:rPr>
      </w:pPr>
      <w:r>
        <w:rPr>
          <w:rFonts w:ascii="Times New Roman" w:eastAsia="方正小标宋_GBK" w:hAnsi="Times New Roman" w:hint="eastAsia"/>
          <w:bCs/>
          <w:sz w:val="44"/>
          <w:szCs w:val="44"/>
        </w:rPr>
        <w:t>跨境电商网购保税进口</w:t>
      </w:r>
      <w:bookmarkStart w:id="5" w:name="罐头生产企业核查记录"/>
      <w:r>
        <w:rPr>
          <w:rFonts w:ascii="Times New Roman" w:eastAsia="方正小标宋_GBK" w:hAnsi="Times New Roman"/>
          <w:bCs/>
          <w:sz w:val="44"/>
          <w:szCs w:val="44"/>
        </w:rPr>
        <w:t>商品</w:t>
      </w:r>
      <w:r>
        <w:rPr>
          <w:rFonts w:ascii="Times New Roman" w:eastAsia="方正小标宋_GBK" w:hAnsi="Times New Roman" w:hint="eastAsia"/>
          <w:bCs/>
          <w:sz w:val="44"/>
          <w:szCs w:val="44"/>
        </w:rPr>
        <w:t>自查记录</w:t>
      </w:r>
      <w:bookmarkEnd w:id="5"/>
    </w:p>
    <w:p>
      <w:pPr>
        <w:pStyle w:val="48"/>
        <w:adjustRightInd w:val="0"/>
        <w:snapToGrid w:val="0"/>
        <w:spacing w:line="500" w:lineRule="exact"/>
        <w:rPr>
          <w:rFonts w:ascii="Times New Roman" w:eastAsia="方正仿宋_GBK" w:hAnsi="Times New Roman"/>
          <w:i w:val="0"/>
          <w:kern w:val="0"/>
          <w:sz w:val="28"/>
          <w:szCs w:val="28"/>
        </w:rPr>
      </w:pPr>
      <w:r>
        <w:rPr>
          <w:rFonts w:ascii="Times New Roman" w:eastAsia="方正仿宋_GBK" w:hAnsi="Times New Roman" w:hint="eastAsia"/>
          <w:i w:val="0"/>
          <w:kern w:val="0"/>
          <w:sz w:val="28"/>
          <w:szCs w:val="28"/>
        </w:rPr>
        <w:t>仓库名称：</w:t>
      </w:r>
    </w:p>
    <w:p>
      <w:pPr>
        <w:pStyle w:val="48"/>
        <w:adjustRightInd w:val="0"/>
        <w:snapToGrid w:val="0"/>
        <w:spacing w:line="500" w:lineRule="exact"/>
        <w:rPr>
          <w:rStyle w:val="46Char"/>
          <w:rFonts w:ascii="Times New Roman" w:eastAsia="方正仿宋_GBK" w:hAnsi="Times New Roman"/>
          <w:i w:val="0"/>
          <w:kern w:val="0"/>
          <w:sz w:val="28"/>
          <w:szCs w:val="28"/>
        </w:rPr>
      </w:pPr>
      <w:r>
        <w:rPr>
          <w:rStyle w:val="46Char"/>
          <w:rFonts w:ascii="Times New Roman" w:eastAsia="方正仿宋_GBK" w:hAnsi="Times New Roman"/>
          <w:i w:val="0"/>
          <w:kern w:val="0"/>
          <w:sz w:val="28"/>
          <w:szCs w:val="28"/>
        </w:rPr>
        <w:t>电商账册：</w:t>
      </w:r>
    </w:p>
    <w:p>
      <w:pPr>
        <w:pStyle w:val="47"/>
        <w:tabs>
          <w:tab w:val="clear" w:pos="0"/>
        </w:tabs>
        <w:adjustRightInd w:val="0"/>
        <w:snapToGrid w:val="0"/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一、仓库</w:t>
      </w:r>
      <w:r>
        <w:rPr>
          <w:rFonts w:ascii="Times New Roman" w:hAnsi="Times New Roman" w:hint="eastAsia"/>
          <w:bCs/>
          <w:sz w:val="28"/>
        </w:rPr>
        <w:t>分区设置</w:t>
      </w:r>
      <w:r>
        <w:rPr>
          <w:rFonts w:ascii="Times New Roman" w:hAnsi="Times New Roman" w:hint="eastAsia"/>
          <w:sz w:val="28"/>
          <w:szCs w:val="28"/>
        </w:rPr>
        <w:t xml:space="preserve"> </w:t>
      </w:r>
    </w:p>
    <w:tbl>
      <w:tblPr>
        <w:jc w:val="left"/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5"/>
        <w:gridCol w:w="3872"/>
      </w:tblGrid>
      <w:tr>
        <w:trPr>
          <w:cantSplit/>
          <w:trHeight w:val="595"/>
        </w:trPr>
        <w:tc>
          <w:tcPr>
            <w:tcW w:w="4845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9"/>
              <w:adjustRightInd w:val="0"/>
              <w:snapToGrid w:val="0"/>
              <w:spacing w:before="0" w:beforeAutospacing="0" w:after="0" w:afterAutospacing="0" w:line="500" w:lineRule="exact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自查项目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7"/>
              <w:tabs>
                <w:tab w:val="clear" w:pos="0"/>
              </w:tabs>
              <w:adjustRightInd w:val="0"/>
              <w:snapToGrid w:val="0"/>
              <w:spacing w:line="500" w:lineRule="exac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客观描述</w:t>
            </w:r>
          </w:p>
        </w:tc>
      </w:tr>
      <w:tr>
        <w:trPr>
          <w:trHeight w:val="2209"/>
        </w:trPr>
        <w:tc>
          <w:tcPr>
            <w:tcW w:w="4845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7"/>
              <w:tabs>
                <w:tab w:val="clear" w:pos="0"/>
              </w:tabs>
              <w:adjustRightInd w:val="0"/>
              <w:snapToGrid w:val="0"/>
              <w:spacing w:line="50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32"/>
                <w:szCs w:val="32"/>
              </w:rPr>
              <w:t>1.</w:t>
            </w:r>
            <w:r>
              <w:rPr>
                <w:rFonts w:ascii="Times New Roman" w:eastAsia="方正仿宋_GBK" w:cs="Arial" w:hAnsi="Times New Roman"/>
                <w:b/>
                <w:bCs/>
                <w:sz w:val="28"/>
                <w:szCs w:val="28"/>
              </w:rPr>
              <w:t>仓库分区</w:t>
            </w:r>
            <w:r>
              <w:rPr>
                <w:rFonts w:ascii="Times New Roman" w:eastAsia="方正仿宋_GBK" w:cs="Arial" w:hAnsi="Times New Roman" w:hint="eastAsia"/>
                <w:b/>
                <w:bCs/>
                <w:sz w:val="28"/>
                <w:szCs w:val="28"/>
              </w:rPr>
              <w:t>设</w:t>
            </w:r>
            <w:r>
              <w:rPr>
                <w:rFonts w:ascii="Times New Roman" w:eastAsia="方正仿宋_GBK" w:cs="Arial" w:hAnsi="Times New Roman"/>
                <w:b/>
                <w:bCs/>
                <w:sz w:val="28"/>
                <w:szCs w:val="28"/>
              </w:rPr>
              <w:t>置情况：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是否区分理货区、仓储区、打包作业区、待放行区、退货区等</w:t>
            </w:r>
            <w:r>
              <w:rPr>
                <w:rFonts w:ascii="Times New Roman" w:eastAsia="方正仿宋_GBK" w:cs="Arial" w:hAnsi="Times New Roman" w:hint="eastAsia"/>
                <w:sz w:val="28"/>
                <w:szCs w:val="28"/>
              </w:rPr>
              <w:t>。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</w:tbl>
    <w:p>
      <w:pPr>
        <w:pStyle w:val="47"/>
        <w:tabs>
          <w:tab w:val="clear" w:pos="0"/>
        </w:tabs>
        <w:adjustRightInd w:val="0"/>
        <w:snapToGrid w:val="0"/>
        <w:spacing w:line="500" w:lineRule="exac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二、</w:t>
      </w:r>
      <w:r>
        <w:rPr>
          <w:rFonts w:ascii="Times New Roman" w:hAnsi="Times New Roman" w:hint="eastAsia"/>
          <w:bCs/>
          <w:sz w:val="28"/>
        </w:rPr>
        <w:t>视频监控设置</w:t>
      </w:r>
    </w:p>
    <w:tbl>
      <w:tblPr>
        <w:jc w:val="left"/>
        <w:tblW w:w="8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4"/>
        <w:gridCol w:w="3919"/>
      </w:tblGrid>
      <w:tr>
        <w:trPr>
          <w:cantSplit/>
          <w:trHeight w:val="361"/>
        </w:trPr>
        <w:tc>
          <w:tcPr>
            <w:tcW w:w="4864" w:type="dxa"/>
            <w:tcBorders>
              <w:tl2br w:val="nil"/>
              <w:tr2bl w:val="nil"/>
            </w:tcBorders>
            <w:vAlign w:val="center"/>
          </w:tcPr>
          <w:p>
            <w:pPr>
              <w:pStyle w:val="49"/>
              <w:adjustRightInd w:val="0"/>
              <w:snapToGrid w:val="0"/>
              <w:spacing w:before="0" w:beforeAutospacing="0" w:after="0" w:afterAutospacing="0" w:line="500" w:lineRule="exact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自查项目</w:t>
            </w:r>
          </w:p>
        </w:tc>
        <w:tc>
          <w:tcPr>
            <w:tcW w:w="3919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7"/>
              <w:tabs>
                <w:tab w:val="clear" w:pos="0"/>
              </w:tabs>
              <w:adjustRightInd w:val="0"/>
              <w:snapToGrid w:val="0"/>
              <w:spacing w:line="500" w:lineRule="exac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客观描述</w:t>
            </w:r>
          </w:p>
        </w:tc>
      </w:tr>
      <w:tr>
        <w:trPr>
          <w:trHeight w:val="401"/>
        </w:trPr>
        <w:tc>
          <w:tcPr>
            <w:tcW w:w="4864" w:type="dxa"/>
            <w:tcBorders>
              <w:tl2br w:val="nil"/>
              <w:tr2bl w:val="nil"/>
            </w:tcBorders>
            <w:vAlign w:val="center"/>
          </w:tcPr>
          <w:p>
            <w:pPr>
              <w:pStyle w:val="47"/>
              <w:tabs>
                <w:tab w:val="clear" w:pos="0"/>
              </w:tabs>
              <w:adjustRightInd w:val="0"/>
              <w:snapToGrid w:val="0"/>
              <w:spacing w:line="500" w:lineRule="exact"/>
              <w:jc w:val="left"/>
              <w:rPr>
                <w:rFonts w:ascii="Times New Roman" w:eastAsia="方正仿宋_GBK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32"/>
                <w:szCs w:val="32"/>
              </w:rPr>
              <w:t>2.</w:t>
            </w:r>
            <w:r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  <w:t>视频监控运行情况：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视频监控设备是否正常运行。</w:t>
            </w:r>
          </w:p>
        </w:tc>
        <w:tc>
          <w:tcPr>
            <w:tcW w:w="391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  <w:tr>
        <w:trPr>
          <w:trHeight w:val="390"/>
        </w:trPr>
        <w:tc>
          <w:tcPr>
            <w:tcW w:w="4864" w:type="dxa"/>
            <w:tcBorders>
              <w:tl2br w:val="nil"/>
              <w:tr2bl w:val="nil"/>
            </w:tcBorders>
            <w:vAlign w:val="center"/>
          </w:tcPr>
          <w:p>
            <w:pPr>
              <w:pStyle w:val="47"/>
              <w:tabs>
                <w:tab w:val="clear" w:pos="0"/>
              </w:tabs>
              <w:adjustRightInd w:val="0"/>
              <w:snapToGrid w:val="0"/>
              <w:spacing w:line="500" w:lineRule="exact"/>
              <w:jc w:val="left"/>
              <w:rPr>
                <w:rFonts w:ascii="Times New Roman" w:eastAsia="方正仿宋_GBK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  <w:t>3.视频监控覆盖情况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：是否对卸货区、理货区、仓储区、打包作业区、待放行区、退货区等重点作业区域实现覆盖</w:t>
            </w:r>
            <w:r>
              <w:rPr>
                <w:rFonts w:ascii="Times New Roman" w:eastAsia="方正仿宋_GBK" w:hAnsi="Times New Roman" w:hint="eastAsia"/>
                <w:snapToGrid w:val="0"/>
                <w:sz w:val="28"/>
                <w:szCs w:val="28"/>
              </w:rPr>
              <w:t>。</w:t>
            </w:r>
          </w:p>
        </w:tc>
        <w:tc>
          <w:tcPr>
            <w:tcW w:w="391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  <w:tr>
        <w:trPr>
          <w:trHeight w:val="405"/>
        </w:trPr>
        <w:tc>
          <w:tcPr>
            <w:tcW w:w="4864" w:type="dxa"/>
            <w:tcBorders>
              <w:tl2br w:val="nil"/>
              <w:tr2bl w:val="nil"/>
            </w:tcBorders>
            <w:vAlign w:val="center"/>
          </w:tcPr>
          <w:p>
            <w:pPr>
              <w:pStyle w:val="47"/>
              <w:tabs>
                <w:tab w:val="clear" w:pos="0"/>
              </w:tabs>
              <w:adjustRightInd w:val="0"/>
              <w:snapToGrid w:val="0"/>
              <w:spacing w:line="500" w:lineRule="exact"/>
              <w:jc w:val="left"/>
              <w:rPr>
                <w:rFonts w:ascii="Times New Roman" w:eastAsia="方正仿宋_GBK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  <w:t>4.视频信号存储情况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：视频信号存储期限是否为三个月以上</w:t>
            </w:r>
            <w:r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  <w:t>。</w:t>
            </w:r>
          </w:p>
        </w:tc>
        <w:tc>
          <w:tcPr>
            <w:tcW w:w="391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</w:tbl>
    <w:p>
      <w:pPr>
        <w:pStyle w:val="47"/>
        <w:tabs>
          <w:tab w:val="clear" w:pos="0"/>
        </w:tabs>
        <w:adjustRightInd w:val="0"/>
        <w:snapToGrid w:val="0"/>
        <w:spacing w:line="500" w:lineRule="exac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三、业务</w:t>
      </w:r>
      <w:r>
        <w:rPr>
          <w:rFonts w:ascii="Times New Roman" w:hAnsi="Times New Roman" w:hint="eastAsia"/>
          <w:bCs/>
          <w:sz w:val="28"/>
        </w:rPr>
        <w:t>流程</w:t>
      </w:r>
      <w:r>
        <w:rPr>
          <w:rFonts w:ascii="Times New Roman" w:hAnsi="Times New Roman"/>
          <w:bCs/>
          <w:sz w:val="28"/>
        </w:rPr>
        <w:t>控制</w:t>
      </w:r>
      <w:r>
        <w:rPr>
          <w:rFonts w:ascii="Times New Roman" w:hAnsi="Times New Roman" w:hint="eastAsia"/>
          <w:bCs/>
          <w:sz w:val="28"/>
          <w:szCs w:val="28"/>
        </w:rPr>
        <w:t xml:space="preserve"> </w:t>
      </w:r>
    </w:p>
    <w:tbl>
      <w:tblPr>
        <w:jc w:val="left"/>
        <w:tblW w:w="8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3"/>
        <w:gridCol w:w="3939"/>
      </w:tblGrid>
      <w:tr>
        <w:trPr>
          <w:trHeight w:val="352"/>
        </w:trPr>
        <w:tc>
          <w:tcPr>
            <w:tcW w:w="4873" w:type="dxa"/>
            <w:tcBorders>
              <w:top w:val="single" w:sz="4" w:space="0" w:color="auto"/>
              <w:tl2br w:val="nil"/>
              <w:tr2bl w:val="nil"/>
            </w:tcBorders>
          </w:tcPr>
          <w:p>
            <w:pPr>
              <w:pStyle w:val="49"/>
              <w:adjustRightInd w:val="0"/>
              <w:snapToGrid w:val="0"/>
              <w:spacing w:before="0" w:beforeAutospacing="0" w:after="0" w:afterAutospacing="0" w:line="500" w:lineRule="exact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自查项目</w:t>
            </w:r>
          </w:p>
        </w:tc>
        <w:tc>
          <w:tcPr>
            <w:tcW w:w="393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47"/>
              <w:tabs>
                <w:tab w:val="clear" w:pos="0"/>
              </w:tabs>
              <w:adjustRightInd w:val="0"/>
              <w:snapToGrid w:val="0"/>
              <w:spacing w:line="500" w:lineRule="exac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客观描述</w:t>
            </w:r>
          </w:p>
        </w:tc>
      </w:tr>
      <w:tr>
        <w:trPr>
          <w:trHeight w:val="352"/>
        </w:trPr>
        <w:tc>
          <w:tcPr>
            <w:tcW w:w="4873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9"/>
              <w:adjustRightInd w:val="0"/>
              <w:snapToGrid w:val="0"/>
              <w:spacing w:before="0" w:beforeAutospacing="0" w:after="0" w:afterAutospacing="0" w:line="500" w:lineRule="exact"/>
              <w:jc w:val="both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  <w:t>5.</w:t>
            </w:r>
            <w:r>
              <w:rPr>
                <w:rFonts w:ascii="Times New Roman" w:eastAsia="方正仿宋_GBK" w:hAnsi="Times New Roman" w:hint="eastAsia"/>
                <w:b/>
                <w:bCs/>
                <w:snapToGrid w:val="0"/>
                <w:sz w:val="28"/>
                <w:szCs w:val="28"/>
              </w:rPr>
              <w:t>理货环节：</w:t>
            </w:r>
            <w:r>
              <w:rPr>
                <w:rFonts w:ascii="Times New Roman" w:eastAsia="方正仿宋_GBK" w:hAnsi="Times New Roman"/>
                <w:snapToGrid w:val="0"/>
                <w:sz w:val="28"/>
                <w:szCs w:val="28"/>
              </w:rPr>
              <w:t>经验证，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理货数据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是否录入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仓库信息化管理系统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。</w:t>
            </w:r>
          </w:p>
        </w:tc>
        <w:tc>
          <w:tcPr>
            <w:tcW w:w="393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  <w:tr>
        <w:trPr>
          <w:trHeight w:val="352"/>
        </w:trPr>
        <w:tc>
          <w:tcPr>
            <w:tcW w:w="4873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9"/>
              <w:adjustRightInd w:val="0"/>
              <w:snapToGrid w:val="0"/>
              <w:spacing w:before="0" w:beforeAutospacing="0" w:after="0" w:afterAutospacing="0" w:line="500" w:lineRule="exact"/>
              <w:jc w:val="both"/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6.理货环节：</w:t>
            </w:r>
            <w:r>
              <w:rPr>
                <w:rFonts w:ascii="Times New Roman" w:eastAsia="方正仿宋_GBK" w:hAnsi="Times New Roman"/>
                <w:bCs/>
                <w:sz w:val="28"/>
                <w:szCs w:val="28"/>
              </w:rPr>
              <w:t>经验证，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理货记录是否可以追溯。</w:t>
            </w:r>
          </w:p>
        </w:tc>
        <w:tc>
          <w:tcPr>
            <w:tcW w:w="393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  <w:tr>
        <w:trPr>
          <w:trHeight w:val="352"/>
        </w:trPr>
        <w:tc>
          <w:tcPr>
            <w:tcW w:w="4873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9"/>
              <w:adjustRightInd w:val="0"/>
              <w:snapToGrid w:val="0"/>
              <w:spacing w:before="0" w:beforeAutospacing="0" w:after="0" w:afterAutospacing="0" w:line="500" w:lineRule="exact"/>
              <w:jc w:val="both"/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  <w:t>7.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理货环节：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经抽查，理货数量差异数据是否报送海关处置（抽查未发现理货数量差异的，填“不适用”）。</w:t>
            </w:r>
          </w:p>
        </w:tc>
        <w:tc>
          <w:tcPr>
            <w:tcW w:w="393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  <w:tr>
        <w:trPr>
          <w:trHeight w:val="352"/>
        </w:trPr>
        <w:tc>
          <w:tcPr>
            <w:tcW w:w="4873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9"/>
              <w:adjustRightInd w:val="0"/>
              <w:snapToGrid w:val="0"/>
              <w:spacing w:before="0" w:beforeAutospacing="0" w:after="0" w:afterAutospacing="0" w:line="500" w:lineRule="exact"/>
              <w:jc w:val="both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  <w:t>8.</w:t>
            </w:r>
            <w:r>
              <w:rPr>
                <w:rFonts w:ascii="Times New Roman" w:eastAsia="方正仿宋_GBK" w:hAnsi="Times New Roman" w:hint="eastAsia"/>
                <w:b/>
                <w:bCs/>
                <w:snapToGrid w:val="0"/>
                <w:sz w:val="28"/>
                <w:szCs w:val="28"/>
              </w:rPr>
              <w:t>仓储环节：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仓库是否使用仓库信息化管理系统。</w:t>
            </w:r>
          </w:p>
        </w:tc>
        <w:tc>
          <w:tcPr>
            <w:tcW w:w="393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  <w:tr>
        <w:trPr>
          <w:trHeight w:val="352"/>
        </w:trPr>
        <w:tc>
          <w:tcPr>
            <w:tcW w:w="4873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9"/>
              <w:adjustRightInd w:val="0"/>
              <w:snapToGrid w:val="0"/>
              <w:spacing w:before="0" w:beforeAutospacing="0" w:after="0" w:afterAutospacing="0" w:line="500" w:lineRule="exact"/>
              <w:jc w:val="both"/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  <w:t>9.</w:t>
            </w:r>
            <w:r>
              <w:rPr>
                <w:rFonts w:ascii="Times New Roman" w:eastAsia="方正仿宋_GBK" w:hAnsi="Times New Roman" w:hint="eastAsia"/>
                <w:b/>
                <w:bCs/>
                <w:snapToGrid w:val="0"/>
                <w:sz w:val="28"/>
                <w:szCs w:val="28"/>
              </w:rPr>
              <w:t>仓储环节：</w:t>
            </w:r>
            <w:r>
              <w:rPr>
                <w:rFonts w:ascii="Times New Roman" w:eastAsia="方正仿宋_GBK" w:hAnsi="Times New Roman"/>
                <w:snapToGrid w:val="0"/>
                <w:sz w:val="28"/>
                <w:szCs w:val="28"/>
              </w:rPr>
              <w:t>是否发现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跨境电商网购保税进口商品与普通保税货物混存的情况。</w:t>
            </w:r>
          </w:p>
        </w:tc>
        <w:tc>
          <w:tcPr>
            <w:tcW w:w="393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  <w:tr>
        <w:trPr>
          <w:trHeight w:val="725"/>
        </w:trPr>
        <w:tc>
          <w:tcPr>
            <w:tcW w:w="4873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9"/>
              <w:adjustRightInd w:val="0"/>
              <w:snapToGrid w:val="0"/>
              <w:spacing w:before="0" w:beforeAutospacing="0" w:after="0" w:afterAutospacing="0" w:line="500" w:lineRule="exact"/>
              <w:jc w:val="both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  <w:t>10.</w:t>
            </w:r>
            <w:r>
              <w:rPr>
                <w:rFonts w:ascii="Times New Roman" w:eastAsia="方正仿宋_GBK" w:hAnsi="Times New Roman" w:hint="eastAsia"/>
                <w:b/>
                <w:bCs/>
                <w:snapToGrid w:val="0"/>
                <w:sz w:val="28"/>
                <w:szCs w:val="28"/>
              </w:rPr>
              <w:t>分包、装货出区环节：</w:t>
            </w:r>
            <w:r>
              <w:rPr>
                <w:rFonts w:ascii="Times New Roman" w:eastAsia="方正仿宋_GBK" w:hAnsi="Times New Roman" w:hint="eastAsia"/>
                <w:snapToGrid w:val="0"/>
                <w:sz w:val="28"/>
                <w:szCs w:val="28"/>
              </w:rPr>
              <w:t>经抽查</w:t>
            </w:r>
            <w:r>
              <w:rPr>
                <w:rFonts w:ascii="Times New Roman" w:eastAsia="方正仿宋_GBK" w:hAnsi="Times New Roman"/>
                <w:snapToGrid w:val="0"/>
                <w:sz w:val="28"/>
                <w:szCs w:val="28"/>
              </w:rPr>
              <w:t>待放行区</w:t>
            </w:r>
            <w:r>
              <w:rPr>
                <w:rFonts w:ascii="Times New Roman" w:eastAsia="方正仿宋_GBK" w:hAnsi="Times New Roman" w:hint="eastAsia"/>
                <w:snapToGrid w:val="0"/>
                <w:sz w:val="28"/>
                <w:szCs w:val="28"/>
              </w:rPr>
              <w:t>，是否发现待放行跨境电</w:t>
            </w:r>
            <w:r>
              <w:rPr>
                <w:rFonts w:ascii="Times New Roman" w:eastAsia="方正仿宋_GBK" w:hAnsi="Times New Roman"/>
                <w:snapToGrid w:val="0"/>
                <w:sz w:val="28"/>
                <w:szCs w:val="28"/>
              </w:rPr>
              <w:t>商网购保税进口</w:t>
            </w:r>
            <w:r>
              <w:rPr>
                <w:rFonts w:ascii="Times New Roman" w:eastAsia="方正仿宋_GBK" w:hAnsi="Times New Roman" w:hint="eastAsia"/>
                <w:snapToGrid w:val="0"/>
                <w:sz w:val="28"/>
                <w:szCs w:val="28"/>
              </w:rPr>
              <w:t>包裹</w:t>
            </w:r>
            <w:r>
              <w:rPr>
                <w:rFonts w:ascii="Times New Roman" w:eastAsia="方正仿宋_GBK" w:hAnsi="Times New Roman"/>
                <w:snapToGrid w:val="0"/>
                <w:sz w:val="28"/>
                <w:szCs w:val="28"/>
              </w:rPr>
              <w:t>未</w:t>
            </w:r>
            <w:r>
              <w:rPr>
                <w:rFonts w:ascii="Times New Roman" w:eastAsia="方正仿宋_GBK" w:hAnsi="Times New Roman" w:hint="eastAsia"/>
                <w:snapToGrid w:val="0"/>
                <w:sz w:val="28"/>
                <w:szCs w:val="28"/>
              </w:rPr>
              <w:t>张贴面单</w:t>
            </w:r>
            <w:r>
              <w:rPr>
                <w:rFonts w:ascii="Times New Roman" w:eastAsia="方正仿宋_GBK" w:hAnsi="Times New Roman"/>
                <w:snapToGrid w:val="0"/>
                <w:sz w:val="28"/>
                <w:szCs w:val="28"/>
              </w:rPr>
              <w:t>的情况</w:t>
            </w:r>
            <w:r>
              <w:rPr>
                <w:rFonts w:ascii="Times New Roman" w:eastAsia="方正仿宋_GBK" w:hAnsi="Times New Roman" w:hint="eastAsia"/>
                <w:snapToGrid w:val="0"/>
                <w:sz w:val="28"/>
                <w:szCs w:val="28"/>
              </w:rPr>
              <w:t>。</w:t>
            </w:r>
          </w:p>
        </w:tc>
        <w:tc>
          <w:tcPr>
            <w:tcW w:w="393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50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  <w:tr>
        <w:trPr>
          <w:trHeight w:val="724"/>
        </w:trPr>
        <w:tc>
          <w:tcPr>
            <w:tcW w:w="4873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72"/>
              <w:adjustRightInd w:val="0"/>
              <w:snapToGrid w:val="0"/>
              <w:spacing w:before="0" w:beforeAutospacing="0" w:after="0" w:afterAutospacing="0" w:line="500" w:lineRule="exact"/>
              <w:jc w:val="both"/>
              <w:rPr>
                <w:rFonts w:ascii="Times New Roman" w:eastAsia="方正仿宋_GBK" w:hAnsi="Times New Roman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napToGrid w:val="0"/>
                <w:sz w:val="28"/>
              </w:rPr>
              <w:t>11.退货环节：</w:t>
            </w:r>
            <w:r>
              <w:rPr>
                <w:rFonts w:ascii="Times New Roman" w:eastAsia="方正仿宋_GBK" w:hAnsi="Times New Roman"/>
                <w:snapToGrid w:val="0"/>
                <w:sz w:val="28"/>
              </w:rPr>
              <w:t>经抽查，核注清单相关退货商品是否具备流程控制（退货商品进入、离开退货区有记录且离开退货区的时间晚于核注清单核增时间的，填“是”；需抽查的核注清单表头、表体信息及核增时间由指令发起部门提供，未提供或提供信息不全影响抽查的，填“不适用”）。</w:t>
            </w:r>
          </w:p>
        </w:tc>
        <w:tc>
          <w:tcPr>
            <w:tcW w:w="3939" w:type="dxa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73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</w:p>
          <w:p>
            <w:pPr>
              <w:pStyle w:val="73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73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○不适用：</w:t>
            </w:r>
          </w:p>
          <w:p>
            <w:pPr>
              <w:pStyle w:val="74"/>
              <w:spacing w:line="5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>___________</w:t>
            </w:r>
          </w:p>
        </w:tc>
      </w:tr>
    </w:tbl>
    <w:p>
      <w:pPr>
        <w:pStyle w:val="54"/>
        <w:adjustRightInd w:val="0"/>
        <w:snapToGrid w:val="0"/>
        <w:spacing w:line="500" w:lineRule="exact"/>
        <w:ind w:firstLineChars="2050" w:firstLine="5740"/>
        <w:rPr>
          <w:rFonts w:ascii="黑体" w:eastAsia="方正仿宋_GBK" w:hAnsi="黑体"/>
          <w:kern w:val="0"/>
          <w:sz w:val="28"/>
          <w:szCs w:val="28"/>
        </w:rPr>
      </w:pPr>
      <w:r>
        <w:rPr>
          <w:rFonts w:ascii="黑体" w:eastAsia="方正仿宋_GBK" w:hAnsi="黑体" w:hint="eastAsia"/>
          <w:kern w:val="0"/>
          <w:sz w:val="28"/>
          <w:szCs w:val="28"/>
        </w:rPr>
        <w:t>年</w:t>
      </w:r>
      <w:r>
        <w:rPr>
          <w:rFonts w:ascii="黑体" w:eastAsia="方正仿宋_GBK" w:hAnsi="黑体"/>
          <w:kern w:val="0"/>
          <w:sz w:val="28"/>
          <w:szCs w:val="28"/>
        </w:rPr>
        <w:t xml:space="preserve">  </w:t>
      </w:r>
      <w:r>
        <w:rPr>
          <w:rFonts w:ascii="黑体" w:eastAsia="方正仿宋_GBK" w:hAnsi="黑体" w:hint="eastAsia"/>
          <w:kern w:val="0"/>
          <w:sz w:val="28"/>
          <w:szCs w:val="28"/>
        </w:rPr>
        <w:t xml:space="preserve"> 月 </w:t>
      </w:r>
      <w:r>
        <w:rPr>
          <w:rFonts w:ascii="黑体" w:eastAsia="方正仿宋_GBK" w:hAnsi="黑体"/>
          <w:kern w:val="0"/>
          <w:sz w:val="28"/>
          <w:szCs w:val="28"/>
        </w:rPr>
        <w:t xml:space="preserve"> </w:t>
      </w:r>
      <w:r>
        <w:rPr>
          <w:rFonts w:ascii="黑体" w:eastAsia="方正仿宋_GBK" w:hAnsi="黑体" w:hint="eastAsia"/>
          <w:kern w:val="0"/>
          <w:sz w:val="28"/>
          <w:szCs w:val="28"/>
        </w:rPr>
        <w:t xml:space="preserve"> 日</w:t>
      </w:r>
    </w:p>
    <w:p>
      <w:pPr>
        <w:pStyle w:val="54"/>
        <w:adjustRightInd w:val="0"/>
        <w:snapToGrid w:val="0"/>
        <w:spacing w:line="500" w:lineRule="exact"/>
        <w:ind w:firstLineChars="2050" w:firstLine="5740"/>
        <w:rPr>
          <w:rFonts w:ascii="黑体" w:eastAsia="方正仿宋_GBK" w:hAnsi="黑体"/>
          <w:kern w:val="0"/>
          <w:sz w:val="28"/>
          <w:szCs w:val="28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附件</w:t>
      </w:r>
      <w:r>
        <w:rPr>
          <w:rFonts w:hint="eastAsia"/>
          <w:sz w:val="32"/>
          <w:szCs w:val="32"/>
        </w:rPr>
        <w:t>：</w:t>
      </w:r>
    </w:p>
    <w:p>
      <w:pPr>
        <w:pStyle w:val="97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  <w:r>
        <w:rPr>
          <w:rFonts w:ascii="方正小标宋_GBK" w:eastAsia="方正小标宋_GBK" w:cs="宋体"/>
          <w:sz w:val="44"/>
          <w:szCs w:val="44"/>
          <w:lang w:eastAsia="zh-CN"/>
        </w:rPr>
        <w:t>货物自查</w:t>
      </w:r>
      <w:r>
        <w:rPr>
          <w:rFonts w:ascii="方正小标宋_GBK" w:eastAsia="方正小标宋_GBK" w:cs="宋体" w:hint="eastAsia"/>
          <w:sz w:val="44"/>
          <w:szCs w:val="44"/>
          <w:lang w:eastAsia="zh-CN"/>
        </w:rPr>
        <w:t>情况表</w:t>
      </w:r>
    </w:p>
    <w:p>
      <w:pPr>
        <w:pStyle w:val="97"/>
        <w:spacing w:line="600" w:lineRule="exact"/>
        <w:jc w:val="center"/>
        <w:rPr>
          <w:lang w:eastAsia="zh-CN"/>
        </w:rPr>
      </w:pPr>
    </w:p>
    <w:p>
      <w:pPr>
        <w:pStyle w:val="97"/>
        <w:spacing w:line="600" w:lineRule="exact"/>
        <w:rPr>
          <w:rFonts w:ascii="Calibri" w:cs="Arial" w:hAnsi="Calibri"/>
          <w:kern w:val="2"/>
          <w:sz w:val="32"/>
          <w:szCs w:val="32"/>
          <w:lang w:eastAsia="zh-CN"/>
        </w:rPr>
      </w:pPr>
      <w:r>
        <w:rPr>
          <w:rFonts w:ascii="Calibri" w:cs="Arial" w:hAnsi="Calibri" w:hint="eastAsia"/>
          <w:kern w:val="2"/>
          <w:sz w:val="32"/>
          <w:szCs w:val="32"/>
          <w:lang w:eastAsia="zh-CN"/>
        </w:rPr>
        <w:t>企业名称（公章）：</w:t>
      </w:r>
    </w:p>
    <w:tbl>
      <w:tblPr>
        <w:jc w:val="left"/>
        <w:tblInd w:w="-521" w:type="dxa"/>
        <w:tblW w:w="986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6"/>
        <w:gridCol w:w="1307"/>
        <w:gridCol w:w="1245"/>
        <w:gridCol w:w="1158"/>
        <w:gridCol w:w="1417"/>
        <w:gridCol w:w="1418"/>
        <w:gridCol w:w="1015"/>
      </w:tblGrid>
      <w:tr>
        <w:trPr>
          <w:trHeight w:val="563"/>
        </w:trPr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货物</w:t>
            </w: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规格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  <w:lang w:eastAsia="zh-CN"/>
              </w:rPr>
              <w:t>贸易</w:t>
            </w: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性质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  <w:lang w:eastAsia="zh-CN"/>
              </w:rPr>
              <w:t>状态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  <w:lang w:eastAsia="zh-CN"/>
              </w:rPr>
              <w:t>备注</w:t>
            </w:r>
          </w:p>
        </w:tc>
      </w:tr>
      <w:tr>
        <w:trPr>
          <w:trHeight w:val="465"/>
        </w:trPr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633"/>
        </w:trPr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pStyle w:val="97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97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</w:tbl>
    <w:p>
      <w:pPr>
        <w:pStyle w:val="16"/>
        <w:ind w:left="0"/>
        <w:rPr>
          <w:rFonts w:ascii="方正仿宋_GBK" w:cs="宋体"/>
          <w:kern w:val="0"/>
          <w:szCs w:val="32"/>
        </w:rPr>
      </w:pPr>
      <w:r>
        <w:rPr>
          <w:rFonts w:ascii="方正仿宋_GBK" w:cs="宋体" w:hint="eastAsia"/>
          <w:kern w:val="0"/>
          <w:szCs w:val="32"/>
        </w:rPr>
        <w:t>随附</w:t>
      </w:r>
      <w:r>
        <w:rPr>
          <w:rFonts w:ascii="方正仿宋_GBK" w:cs="宋体"/>
          <w:kern w:val="0"/>
          <w:szCs w:val="32"/>
          <w:lang w:eastAsia="en-US"/>
        </w:rPr>
        <w:t>资料共</w:t>
      </w:r>
      <w:r>
        <w:rPr>
          <w:rFonts w:ascii="方正仿宋_GBK" w:cs="宋体" w:hint="eastAsia"/>
          <w:kern w:val="0"/>
          <w:szCs w:val="32"/>
        </w:rPr>
        <w:t xml:space="preserve">   页。</w:t>
      </w:r>
    </w:p>
    <w:p/>
    <w:p>
      <w:pPr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ascii="方正仿宋_GBK" w:eastAsia="方正仿宋_GBK" w:cs="宋体"/>
          <w:kern w:val="0"/>
          <w:sz w:val="32"/>
          <w:szCs w:val="32"/>
        </w:rPr>
        <w:t>检查场所负责人签名</w:t>
      </w:r>
      <w:r>
        <w:rPr>
          <w:rFonts w:ascii="方正仿宋_GBK" w:eastAsia="方正仿宋_GBK" w:cs="宋体" w:hint="eastAsia"/>
          <w:kern w:val="0"/>
          <w:sz w:val="32"/>
          <w:szCs w:val="32"/>
        </w:rPr>
        <w:t>：</w:t>
      </w:r>
    </w:p>
    <w:p>
      <w:pPr>
        <w:pStyle w:val="54"/>
        <w:adjustRightInd w:val="0"/>
        <w:snapToGrid w:val="0"/>
        <w:spacing w:line="500" w:lineRule="exact"/>
        <w:ind w:firstLineChars="2050" w:firstLine="5740"/>
        <w:rPr>
          <w:rFonts w:ascii="黑体" w:eastAsia="方正仿宋_GBK" w:hAnsi="黑体"/>
          <w:kern w:val="0"/>
          <w:sz w:val="28"/>
          <w:szCs w:val="28"/>
        </w:rPr>
      </w:pPr>
    </w:p>
    <w:sectPr>
      <w:pgSz w:w="11906" w:h="16838"/>
      <w:pgMar w:top="1440" w:right="1803" w:bottom="1440" w:left="1803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xi Sans">
    <w:altName w:val="Times New Roman"/>
    <w:panose1 w:val="00000000000000000000"/>
    <w:charset w:val="00"/>
    <w:family w:val="auto"/>
    <w:pitch w:val="variable"/>
  </w:font>
  <w:font w:name="方正仿宋简体">
    <w:altName w:val="Times New Roman"/>
    <w:panose1 w:val="00000000000000000000"/>
    <w:charset w:val="00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FF5D5603"/>
    <w:multiLevelType w:val="singleLevel"/>
    <w:tmpl w:val="EB763002"/>
    <w:lvl w:ilvl="0">
      <w:start w:val="1"/>
      <w:numFmt w:val="decimal"/>
      <w:lvlRestart w:val="0"/>
      <w:pStyle w:val="19"/>
      <w:lvlText w:val="%1."/>
      <w:lvlJc w:val="left"/>
      <w:pPr>
        <w:ind w:left="1200" w:hanging="360"/>
      </w:pPr>
    </w:lvl>
  </w:abstractNum>
  <w:abstractNum w:abstractNumId="1">
    <w:nsid w:val="C12CA015"/>
    <w:multiLevelType w:val="singleLevel"/>
    <w:tmpl w:val="591A0838"/>
    <w:lvl w:ilvl="0">
      <w:start w:val="1"/>
      <w:numFmt w:val="decimal"/>
      <w:lvlRestart w:val="0"/>
      <w:pStyle w:val="21"/>
      <w:lvlText w:val="%1."/>
      <w:lvlJc w:val="left"/>
      <w:pPr>
        <w:ind w:left="1620" w:hanging="360"/>
      </w:pPr>
    </w:lvl>
  </w:abstractNum>
  <w:abstractNum w:abstractNumId="2">
    <w:nsid w:val="B5310D45"/>
    <w:multiLevelType w:val="singleLevel"/>
    <w:tmpl w:val="B18700DD"/>
    <w:lvl w:ilvl="0">
      <w:start w:val="1"/>
      <w:numFmt w:val="decimal"/>
      <w:lvlRestart w:val="0"/>
      <w:pStyle w:val="30"/>
      <w:lvlText w:val="%1."/>
      <w:lvlJc w:val="left"/>
      <w:pPr>
        <w:ind w:left="2040" w:hanging="360"/>
      </w:pPr>
    </w:lvl>
  </w:abstractNum>
  <w:abstractNum w:abstractNumId="3">
    <w:nsid w:val="E0504801"/>
    <w:multiLevelType w:val="multilevel"/>
    <w:tmpl w:val="4EB4D954"/>
    <w:lvl w:ilvl="0">
      <w:start w:val="1"/>
      <w:numFmt w:val="none"/>
      <w:lvlRestart w:val="0"/>
      <w:suff w:val="nothing"/>
      <w:lvlText w:val="%1"/>
      <w:lvlJc w:val="left"/>
      <w:pPr>
        <w:ind w:left="0" w:hanging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53"/>
      <w:suff w:val="nothing"/>
      <w:lvlText w:val="%1%2　"/>
      <w:lvlJc w:val="left"/>
      <w:pPr>
        <w:ind w:left="0" w:hanging="0"/>
      </w:pPr>
      <w:rPr>
        <w:rFonts w:ascii="黑体" w:hAnsi="黑体" w:eastAsia="黑体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210" w:hanging="0"/>
      </w:pPr>
      <w:rPr>
        <w:rFonts w:ascii="黑体" w:hAnsi="黑体" w:eastAsia="黑体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945" w:hanging="0"/>
      </w:pPr>
      <w:rPr>
        <w:rFonts w:ascii="黑体" w:hAns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hanging="0"/>
      </w:pPr>
      <w:rPr>
        <w:rFonts w:ascii="黑体" w:hAns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hanging="0"/>
      </w:pPr>
      <w:rPr>
        <w:rFonts w:ascii="黑体" w:hAns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hanging="0"/>
      </w:pPr>
      <w:rPr>
        <w:rFonts w:ascii="黑体" w:hAns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677" w:hanging="1700"/>
      </w:pPr>
      <w:rPr>
        <w:rFonts w:hint="eastAsia"/>
      </w:rPr>
    </w:lvl>
  </w:abstractNum>
  <w:abstractNum w:abstractNumId="4">
    <w:nsid w:val="6E340D5A"/>
    <w:multiLevelType w:val="multilevel"/>
    <w:tmpl w:val="6E340D5A"/>
    <w:lvl w:ilvl="0">
      <w:start w:val="1"/>
      <w:numFmt w:val="none"/>
      <w:lvlRestart w:val="0"/>
      <w:suff w:val="nothing"/>
      <w:lvlText w:val="%1"/>
      <w:lvlJc w:val="left"/>
      <w:pPr>
        <w:ind w:left="0" w:hanging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71"/>
      <w:suff w:val="nothing"/>
      <w:lvlText w:val="%1%2　"/>
      <w:lvlJc w:val="left"/>
      <w:pPr>
        <w:ind w:left="0" w:hanging="0"/>
      </w:pPr>
      <w:rPr>
        <w:rFonts w:ascii="黑体" w:hAnsi="黑体" w:eastAsia="黑体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210" w:hanging="0"/>
      </w:pPr>
      <w:rPr>
        <w:rFonts w:ascii="黑体" w:hAnsi="黑体" w:eastAsia="黑体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945" w:hanging="0"/>
      </w:pPr>
      <w:rPr>
        <w:rFonts w:ascii="黑体" w:hAns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hanging="0"/>
      </w:pPr>
      <w:rPr>
        <w:rFonts w:ascii="黑体" w:hAns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hanging="0"/>
      </w:pPr>
      <w:rPr>
        <w:rFonts w:ascii="黑体" w:hAns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hanging="0"/>
      </w:pPr>
      <w:rPr>
        <w:rFonts w:ascii="黑体" w:hAns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  <w:docVars>
    <w:docVar w:name="commondata" w:val="eyJoZGlkIjoiZGYyZjhjZGFkYjQ2ZGNjODIxOTM3Yzk4YjZlZWVhMGM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Note Heading"/>
    <w:basedOn w:val="0"/>
    <w:next w:val="0"/>
    <w:pPr>
      <w:jc w:val="center"/>
    </w:pPr>
  </w:style>
  <w:style w:type="paragraph" w:styleId="16">
    <w:name w:val="index 5"/>
    <w:next w:val="0"/>
    <w:pPr>
      <w:widowControl w:val="0"/>
      <w:ind w:left="168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7">
    <w:name w:val="annotation text"/>
    <w:basedOn w:val="0"/>
    <w:pPr>
      <w:jc w:val="left"/>
    </w:pPr>
  </w:style>
  <w:style w:type="paragraph" w:styleId="18">
    <w:name w:val="Body Text Indent"/>
    <w:basedOn w:val="0"/>
    <w:pPr>
      <w:spacing w:after="120"/>
      <w:ind w:left="420"/>
    </w:pPr>
  </w:style>
  <w:style w:type="paragraph" w:styleId="19">
    <w:name w:val="List Number 3"/>
    <w:basedOn w:val="0"/>
    <w:pPr>
      <w:numPr>
        <w:ilvl w:val="0"/>
        <w:numId w:val="1"/>
      </w:numPr>
    </w:pPr>
  </w:style>
  <w:style w:type="paragraph" w:styleId="20">
    <w:name w:val="HTML Address"/>
    <w:basedOn w:val="0"/>
    <w:rPr>
      <w:i/>
    </w:rPr>
  </w:style>
  <w:style w:type="paragraph" w:styleId="21">
    <w:name w:val="List Number 4"/>
    <w:basedOn w:val="0"/>
    <w:pPr>
      <w:numPr>
        <w:ilvl w:val="0"/>
        <w:numId w:val="2"/>
      </w:numPr>
    </w:pPr>
  </w:style>
  <w:style w:type="paragraph" w:styleId="22">
    <w:name w:val="Date"/>
    <w:basedOn w:val="0"/>
    <w:next w:val="0"/>
    <w:pPr>
      <w:ind w:leftChars="2500" w:left="2500"/>
    </w:pPr>
  </w:style>
  <w:style w:type="paragraph" w:styleId="23">
    <w:name w:val="List Continue 5"/>
    <w:basedOn w:val="0"/>
    <w:pPr>
      <w:spacing w:after="120"/>
      <w:ind w:left="2100"/>
    </w:pPr>
  </w:style>
  <w:style w:type="paragraph" w:styleId="24">
    <w:name w:val="Balloon Text"/>
    <w:basedOn w:val="0"/>
    <w:rPr>
      <w:sz w:val="18"/>
      <w:szCs w:val="18"/>
    </w:rPr>
  </w:style>
  <w:style w:type="paragraph" w:styleId="2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7">
    <w:name w:val="Signature"/>
    <w:basedOn w:val="0"/>
    <w:pPr>
      <w:ind w:left="4320"/>
    </w:pPr>
  </w:style>
  <w:style w:type="paragraph" w:styleId="28">
    <w:name w:val="toc 1"/>
    <w:basedOn w:val="0"/>
    <w:next w:val="0"/>
    <w:pPr>
      <w:ind w:left="420"/>
    </w:pPr>
  </w:style>
  <w:style w:type="paragraph" w:styleId="29">
    <w:name w:val="List Continue 4"/>
    <w:basedOn w:val="0"/>
    <w:pPr>
      <w:spacing w:after="120"/>
      <w:ind w:left="1680"/>
    </w:pPr>
  </w:style>
  <w:style w:type="paragraph" w:styleId="30">
    <w:name w:val="List Number 5"/>
    <w:basedOn w:val="0"/>
    <w:pPr>
      <w:numPr>
        <w:ilvl w:val="0"/>
        <w:numId w:val="3"/>
      </w:numPr>
    </w:pPr>
  </w:style>
  <w:style w:type="paragraph" w:styleId="31">
    <w:name w:val="index 7"/>
    <w:basedOn w:val="0"/>
    <w:next w:val="0"/>
    <w:pPr>
      <w:ind w:left="2520"/>
    </w:pPr>
  </w:style>
  <w:style w:type="paragraph" w:styleId="32">
    <w:name w:val="List 4"/>
    <w:basedOn w:val="0"/>
    <w:pPr>
      <w:ind w:leftChars="600" w:left="800" w:hangingChars="200" w:hanging="200"/>
      <w:contextualSpacing/>
    </w:pPr>
  </w:style>
  <w:style w:type="paragraph" w:styleId="33">
    <w:name w:val="Message Header"/>
    <w:basedOn w:val="0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auto"/>
      <w:ind w:leftChars="500" w:left="1000" w:hangingChars="500" w:hanging="500"/>
    </w:pPr>
    <w:rPr>
      <w:rFonts w:ascii="Luxi Sans" w:hAnsi="Luxi Sans"/>
      <w:sz w:val="24"/>
    </w:rPr>
  </w:style>
  <w:style w:type="paragraph" w:styleId="34">
    <w:name w:val="annotation subject"/>
    <w:basedOn w:val="17"/>
    <w:next w:val="17"/>
    <w:rPr>
      <w:b/>
    </w:rPr>
  </w:style>
  <w:style w:type="paragraph" w:styleId="35">
    <w:name w:val="Body Text First Indent 2"/>
    <w:basedOn w:val="18"/>
    <w:pPr>
      <w:ind w:firstLine="420"/>
    </w:pPr>
  </w:style>
  <w:style w:type="character" w:styleId="36">
    <w:name w:val="annotation reference"/>
    <w:basedOn w:val="10"/>
    <w:rPr>
      <w:sz w:val="21"/>
    </w:rPr>
  </w:style>
  <w:style w:type="paragraph" w:customStyle="1" w:styleId="37">
    <w:name w:val="样式 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">
    <w:name w:val="样式 10 磅63"/>
    <w:next w:val="3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9">
    <w:name w:val="正文5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0">
    <w:name w:val="公式样式 数字"/>
    <w:rPr>
      <w:rFonts w:ascii="Times New Roman" w:eastAsia="宋体" w:cs="Times New Roman" w:hAnsi="Times New Roman"/>
      <w:lang w:val="en-US" w:eastAsia="zh-CN" w:bidi="ar-SA"/>
    </w:rPr>
  </w:style>
  <w:style w:type="paragraph" w:customStyle="1" w:styleId="41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1 10 磅"/>
    <w:link w:val="46Char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customStyle="1" w:styleId="46Char">
    <w:name w:val="样式 1 10 磅 Char"/>
    <w:basedOn w:val="10"/>
    <w:link w:val="46"/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58 10 磅1"/>
    <w:pPr>
      <w:tabs>
        <w:tab w:val="left" w:pos="0"/>
      </w:tabs>
      <w:spacing w:before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8">
    <w:name w:val="样式 4 10 磅"/>
    <w:pPr>
      <w:widowControl w:val="0"/>
      <w:jc w:val="both"/>
    </w:pPr>
    <w:rPr>
      <w:rFonts w:ascii="Calibri" w:eastAsia="宋体" w:cs="Arial" w:hAnsi="Calibri"/>
      <w:i/>
      <w:kern w:val="2"/>
      <w:sz w:val="21"/>
      <w:szCs w:val="22"/>
      <w:lang w:val="en-US" w:eastAsia="zh-CN" w:bidi="ar-SA"/>
    </w:rPr>
  </w:style>
  <w:style w:type="paragraph" w:customStyle="1" w:styleId="49">
    <w:name w:val="样式 1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50">
    <w:name w:val="样式 2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">
    <w:name w:val="样式 3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2">
    <w:name w:val="样式 3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">
    <w:name w:val="章标题"/>
    <w:pPr>
      <w:numPr>
        <w:ilvl w:val="1"/>
        <w:numId w:val="4"/>
      </w:numPr>
      <w:spacing w:before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54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5 10 磅"/>
    <w:basedOn w:val="0"/>
    <w:pPr>
      <w:jc w:val="left"/>
    </w:pPr>
  </w:style>
  <w:style w:type="paragraph" w:customStyle="1" w:styleId="56">
    <w:name w:val="样式 6 10 磅"/>
    <w:basedOn w:val="0"/>
    <w:pPr>
      <w:jc w:val="left"/>
    </w:pPr>
    <w:rPr>
      <w:b/>
    </w:rPr>
  </w:style>
  <w:style w:type="paragraph" w:customStyle="1" w:styleId="57">
    <w:name w:val="样式 7 10 磅"/>
    <w:basedOn w:val="0"/>
    <w:pPr>
      <w:jc w:val="left"/>
    </w:pPr>
  </w:style>
  <w:style w:type="paragraph" w:customStyle="1" w:styleId="58">
    <w:name w:val="样式 8 10 磅"/>
    <w:basedOn w:val="0"/>
    <w:pPr>
      <w:jc w:val="left"/>
    </w:pPr>
    <w:rPr>
      <w:b/>
    </w:rPr>
  </w:style>
  <w:style w:type="paragraph" w:customStyle="1" w:styleId="59">
    <w:name w:val="样式 9 10 磅"/>
    <w:basedOn w:val="0"/>
    <w:pPr>
      <w:jc w:val="left"/>
    </w:pPr>
  </w:style>
  <w:style w:type="paragraph" w:customStyle="1" w:styleId="60">
    <w:name w:val="样式 10 10 磅"/>
    <w:basedOn w:val="0"/>
    <w:pPr>
      <w:jc w:val="left"/>
    </w:pPr>
    <w:rPr>
      <w:b/>
    </w:rPr>
  </w:style>
  <w:style w:type="paragraph" w:customStyle="1" w:styleId="61">
    <w:name w:val="样式 11 10 磅"/>
    <w:basedOn w:val="0"/>
    <w:pPr>
      <w:jc w:val="left"/>
    </w:pPr>
  </w:style>
  <w:style w:type="paragraph" w:customStyle="1" w:styleId="62">
    <w:name w:val="样式 12 10 磅"/>
    <w:basedOn w:val="0"/>
    <w:pPr>
      <w:jc w:val="left"/>
    </w:pPr>
    <w:rPr>
      <w:b/>
    </w:rPr>
  </w:style>
  <w:style w:type="paragraph" w:customStyle="1" w:styleId="63">
    <w:name w:val="样式 13 10 磅"/>
    <w:basedOn w:val="0"/>
    <w:pPr>
      <w:jc w:val="left"/>
    </w:pPr>
  </w:style>
  <w:style w:type="paragraph" w:customStyle="1" w:styleId="64">
    <w:name w:val="样式 14 10 磅"/>
    <w:basedOn w:val="0"/>
    <w:pPr>
      <w:jc w:val="left"/>
    </w:pPr>
    <w:rPr>
      <w:b/>
    </w:rPr>
  </w:style>
  <w:style w:type="paragraph" w:customStyle="1" w:styleId="65">
    <w:name w:val="样式 15 10 磅"/>
    <w:basedOn w:val="0"/>
    <w:pPr>
      <w:jc w:val="left"/>
    </w:pPr>
  </w:style>
  <w:style w:type="paragraph" w:customStyle="1" w:styleId="66">
    <w:name w:val="样式 16 10 磅"/>
    <w:basedOn w:val="0"/>
    <w:pPr>
      <w:jc w:val="left"/>
    </w:pPr>
    <w:rPr>
      <w:b/>
    </w:rPr>
  </w:style>
  <w:style w:type="paragraph" w:customStyle="1" w:styleId="67">
    <w:name w:val="样式 17 10 磅"/>
    <w:basedOn w:val="0"/>
    <w:pPr>
      <w:jc w:val="left"/>
    </w:pPr>
  </w:style>
  <w:style w:type="paragraph" w:customStyle="1" w:styleId="68">
    <w:name w:val="样式 18 10 磅"/>
    <w:basedOn w:val="0"/>
    <w:pPr>
      <w:jc w:val="left"/>
    </w:pPr>
    <w:rPr>
      <w:b/>
    </w:rPr>
  </w:style>
  <w:style w:type="paragraph" w:customStyle="1" w:styleId="69">
    <w:name w:val="样式 19 10 磅"/>
    <w:basedOn w:val="0"/>
    <w:pPr>
      <w:jc w:val="left"/>
    </w:pPr>
  </w:style>
  <w:style w:type="paragraph" w:customStyle="1" w:styleId="70">
    <w:name w:val="样式 20 10 磅"/>
    <w:basedOn w:val="0"/>
    <w:pPr>
      <w:jc w:val="left"/>
    </w:pPr>
    <w:rPr>
      <w:b/>
    </w:rPr>
  </w:style>
  <w:style w:type="paragraph" w:customStyle="1" w:styleId="71">
    <w:name w:val="样式 21 10 磅"/>
    <w:pPr>
      <w:numPr>
        <w:ilvl w:val="1"/>
        <w:numId w:val="5"/>
      </w:numPr>
      <w:spacing w:before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72">
    <w:name w:val="样式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73">
    <w:name w:val="样式 2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4">
    <w:name w:val="样式 2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5">
    <w:name w:val="样式 4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6">
    <w:name w:val="样式 50 10 磅"/>
    <w:next w:val="7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77">
    <w:name w:val="样式 5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78">
    <w:name w:val="样式 5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79">
    <w:name w:val="样式 5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0">
    <w:name w:val="样式 53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54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5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3">
    <w:name w:val="样式 5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4">
    <w:name w:val="样式 57 10 磅"/>
    <w:next w:val="8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10 磅5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6">
    <w:name w:val="样式 58 10 磅"/>
    <w:next w:val="47"/>
    <w:pPr>
      <w:spacing w:before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87">
    <w:name w:val="样式 59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8">
    <w:name w:val="样式 59 10 磅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6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6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6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6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3">
    <w:name w:val="正文3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94">
    <w:name w:val="样式 6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6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96">
    <w:name w:val="样式 67 10 磅"/>
    <w:next w:val="2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97">
    <w:name w:val="正文1"/>
    <w:next w:val="31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styleId="98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99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4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6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7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63</TotalTime>
  <Application>Yozo_Office</Application>
  <Pages>10</Pages>
  <Words>2645</Words>
  <Characters>2780</Characters>
  <Lines>352</Lines>
  <Paragraphs>185</Paragraphs>
  <CharactersWithSpaces>2905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曹昱芳</cp:lastModifiedBy>
  <cp:revision>36</cp:revision>
  <dcterms:created xsi:type="dcterms:W3CDTF">2020-01-15T02:37:00Z</dcterms:created>
  <dcterms:modified xsi:type="dcterms:W3CDTF">2025-03-06T07:13:31Z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2052-12.1.0.15990</vt:lpwstr>
  </property>
  <property fmtid="{D5CDD505-2E9C-101B-9397-08002B2CF9AE}" pid="3" name="ICV">
    <vt:lpwstr>CBC3A82E5E244B92BEDB9B07BF5ECED8_13</vt:lpwstr>
  </property>
</Properties>
</file>