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color w:val="000000"/>
          <w:sz w:val="36"/>
          <w:szCs w:val="36"/>
        </w:rPr>
      </w:pPr>
      <w:r>
        <w:rPr>
          <w:rFonts w:ascii="Times New Roman" w:eastAsia="方正小标宋_GBK" w:hAnsi="Times New Roman" w:hint="eastAsia"/>
          <w:sz w:val="36"/>
          <w:szCs w:val="36"/>
        </w:rPr>
        <w:t>（</w:t>
      </w:r>
      <w:bookmarkStart w:id="1" w:name="_Toc62389129"/>
      <w:r>
        <w:rPr>
          <w:rFonts w:ascii="Times New Roman" w:eastAsia="方正小标宋_GBK" w:hAnsi="Times New Roman" w:hint="eastAsia"/>
          <w:color w:val="000000"/>
          <w:sz w:val="36"/>
          <w:szCs w:val="36"/>
        </w:rPr>
        <w:t>进境非食用动物产品（I级风险产品）指定</w:t>
      </w:r>
      <w:bookmarkEnd w:id="1"/>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color w:val="000000"/>
          <w:sz w:val="36"/>
          <w:szCs w:val="36"/>
        </w:rPr>
        <w:t>生产、加工、存放单位</w:t>
      </w:r>
      <w:r>
        <w:rPr>
          <w:rFonts w:ascii="Times New Roman" w:eastAsia="方正小标宋_GBK" w:hAnsi="Times New Roman" w:hint="eastAsia"/>
          <w:sz w:val="36"/>
          <w:szCs w:val="36"/>
        </w:rPr>
        <w:t>核查）</w:t>
      </w:r>
      <w:bookmarkEnd w:id="0"/>
    </w:p>
    <w:p>
      <w:pPr>
        <w:widowControl/>
        <w:spacing w:line="560" w:lineRule="exact"/>
        <w:jc w:val="center"/>
        <w:outlineLvl w:val="0"/>
        <w:rPr>
          <w:rFonts w:ascii="Times New Roman" w:eastAsia="方正小标宋_GBK" w:hAnsi="Times New Roman"/>
          <w:sz w:val="36"/>
          <w:szCs w:val="36"/>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21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3"/>
              <w:spacing w:line="0" w:lineRule="atLeast"/>
              <w:rPr>
                <w:rFonts w:eastAsia="方正仿宋_GBK"/>
                <w:sz w:val="28"/>
              </w:rPr>
            </w:pPr>
            <w:r>
              <w:rPr>
                <w:rFonts w:eastAsia="方正仿宋_GBK"/>
                <w:color w:val="000000"/>
                <w:sz w:val="28"/>
              </w:rPr>
              <w:t>（可根据实际填写）</w:t>
            </w:r>
            <w:r>
              <w:rPr>
                <w:rFonts w:eastAsia="方正仿宋_GBK" w:hint="eastAsia"/>
                <w:color w:val="000000"/>
                <w:sz w:val="28"/>
              </w:rPr>
              <w:t>核实企业质量管理、兽医防疫体系运行的持续符合性。</w:t>
            </w:r>
          </w:p>
        </w:tc>
      </w:tr>
      <w:tr>
        <w:trPr>
          <w:trHeight w:val="926"/>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3"/>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w:t>
            </w:r>
            <w:r>
              <w:rPr>
                <w:rFonts w:ascii="方正楷体_GBK" w:eastAsia="方正楷体_GBK" w:hint="eastAsia"/>
                <w:sz w:val="32"/>
                <w:szCs w:val="32"/>
                <w:lang w:eastAsia="zh-CN"/>
              </w:rPr>
              <w:t>——</w:t>
            </w:r>
            <w:r>
              <w:rPr>
                <w:rFonts w:ascii="方正楷体_GBK" w:eastAsia="方正楷体_GBK" w:hint="eastAsia"/>
                <w:sz w:val="32"/>
                <w:szCs w:val="32"/>
              </w:rPr>
              <w:t xml:space="preserve">      年    月    日</w:t>
            </w:r>
          </w:p>
        </w:tc>
      </w:tr>
      <w:tr>
        <w:trPr>
          <w:trHeight w:val="926"/>
        </w:trPr>
        <w:tc>
          <w:tcPr>
            <w:tcW w:w="1578" w:type="dxa"/>
            <w:vAlign w:val="center"/>
          </w:tcPr>
          <w:p>
            <w:pPr>
              <w:pStyle w:val="80"/>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83"/>
              <w:spacing w:line="0" w:lineRule="atLeast"/>
              <w:ind w:firstLineChars="300" w:firstLine="960"/>
              <w:rPr>
                <w:rFonts w:ascii="方正楷体_GBK" w:eastAsia="方正楷体_GBK"/>
                <w:sz w:val="32"/>
                <w:szCs w:val="32"/>
                <w:highlight w:val="yellow"/>
              </w:rPr>
            </w:pPr>
          </w:p>
        </w:tc>
        <w:tc>
          <w:tcPr>
            <w:tcW w:w="1543" w:type="dxa"/>
            <w:vAlign w:val="center"/>
          </w:tcPr>
          <w:p>
            <w:pPr>
              <w:pStyle w:val="83"/>
              <w:spacing w:line="0" w:lineRule="atLeast"/>
              <w:rPr>
                <w:rFonts w:ascii="方正楷体_GBK" w:eastAsia="方正楷体_GBK"/>
                <w:sz w:val="32"/>
                <w:szCs w:val="32"/>
                <w:highlight w:val="yellow"/>
              </w:rPr>
            </w:pPr>
            <w:r>
              <w:rPr>
                <w:rFonts w:ascii="方正楷体_GBK" w:eastAsia="方正楷体_GBK" w:hint="eastAsia"/>
                <w:sz w:val="32"/>
                <w:szCs w:val="32"/>
              </w:rPr>
              <w:t>联系方式</w:t>
            </w:r>
          </w:p>
        </w:tc>
        <w:tc>
          <w:tcPr>
            <w:tcW w:w="2309" w:type="dxa"/>
            <w:vAlign w:val="center"/>
          </w:tcPr>
          <w:p>
            <w:pPr>
              <w:pStyle w:val="83"/>
              <w:spacing w:line="0" w:lineRule="atLeast"/>
              <w:ind w:firstLineChars="300" w:firstLine="960"/>
              <w:rPr>
                <w:rFonts w:ascii="方正楷体_GBK" w:eastAsia="方正楷体_GBK"/>
                <w:sz w:val="32"/>
                <w:szCs w:val="32"/>
                <w:highlight w:val="yellow"/>
              </w:rPr>
            </w:pPr>
          </w:p>
        </w:tc>
      </w:tr>
    </w:tbl>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95"/>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96"/>
      </w:pPr>
    </w:p>
    <w:p>
      <w:pPr>
        <w:pStyle w:val="97"/>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98"/>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9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1"/>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4"/>
        <w:rPr>
          <w:rFonts w:eastAsia="方正小标宋_GBK"/>
          <w:sz w:val="28"/>
          <w:szCs w:val="28"/>
        </w:rPr>
      </w:pPr>
    </w:p>
    <w:p>
      <w:pPr>
        <w:pStyle w:val="94"/>
        <w:rPr>
          <w:rFonts w:eastAsia="方正小标宋_GBK"/>
          <w:sz w:val="28"/>
          <w:szCs w:val="28"/>
        </w:rPr>
      </w:pPr>
    </w:p>
    <w:p>
      <w:pPr>
        <w:spacing w:line="560" w:lineRule="exact"/>
        <w:rPr>
          <w:rFonts w:ascii="Times New Roman" w:eastAsia="方正小标宋_GBK" w:hAnsi="Times New Roman"/>
          <w:sz w:val="28"/>
          <w:szCs w:val="28"/>
        </w:rPr>
      </w:pPr>
      <w:r>
        <w:rPr>
          <w:rFonts w:ascii="Times New Roman" w:eastAsia="方正小标宋_GBK" w:hAnsi="Times New Roman"/>
          <w:sz w:val="28"/>
          <w:szCs w:val="28"/>
        </w:rPr>
        <w:br w:type="page"/>
      </w:r>
    </w:p>
    <w:p>
      <w:pPr>
        <w:pStyle w:val="84"/>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365"/>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（说明：上一年度进口非食用动物产品（I级风险产品）生产、加工、存放情况，包括但不限于品种、数量、原产地等，可另附页。）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（一）选址与环境要求</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3.生产、加工设施的选址、布局是否符合动物卫生防疫要求。</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（说明：选址应远离动物饲养场、兽医站、屠宰厂和水源等，以厂区或库区为中心半径1公里范围内没有饲养家畜、家禽。存在上述要求中任何一项不符合的，应勾选“否”，并注明具体不符合内容。）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4.是否有围墙。</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5.厂区布局是否合理。</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布局合理需要遵循加工存放区和生活区分开；加工存放区按产品进厂、原料存放、深加工等工艺流程单向布局，物流方向应遵循从污染区到非污染区的原则。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6.厂区环境是否保持干净、整洁，物品堆放整齐，有专门垃圾存放场所和杂物堆放区。</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7.厂区路面是否硬化。</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8.厂区加工车间、库房等墙面、地面是否不渗水、不积水，易于清洗消毒。</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（二）防疫消毒设施及设备要求</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9.加工存放区的入口处人员通道与车辆通道是否分设。</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10.车辆进出通道是否设置符合要求的消毒池，或其他等效设施；是否按规定投放消毒剂（液）。</w:t>
            </w:r>
          </w:p>
          <w:p>
            <w:pPr>
              <w:pStyle w:val="92"/>
              <w:spacing w:line="560" w:lineRule="exact"/>
              <w:ind w:firstLineChars="200" w:firstLine="480"/>
              <w:rPr>
                <w:rFonts w:ascii="方正楷体_GBK" w:eastAsia="方正楷体_GBK" w:cs="方正楷体_GBK"/>
                <w:color w:val="000000"/>
                <w:sz w:val="24"/>
              </w:rPr>
            </w:pPr>
            <w:r>
              <w:rPr>
                <w:rFonts w:ascii="方正楷体_GBK" w:eastAsia="方正楷体_GBK" w:cs="方正楷体_GBK" w:hint="eastAsia"/>
                <w:color w:val="000000"/>
                <w:sz w:val="24"/>
              </w:rPr>
              <w:t>（说明：消毒池须与门等宽、长度不少于4米、深度不低于0.2米，存在上述要求中任何一项不符合的，应勾选“否”，并注明具体不符合内容。）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11.人员进出通道是否设置符合要求的消毒池（垫）。</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（说明：消毒池（垫）须与门等宽，长度不少于2米,存在上述要求中任何一项不符合的，应勾选“否”，并注明具体不符合内容。）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12.人员和车辆是否按规定进出。</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（说明：工作人员和车辆须凭证进出，无关人员和车辆不得随意进出，存在上述要求中任何一项不符合的，应勾选“否”，并注明具体不符合内容。）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13.原料库的出入口和加工车间的入口处是否设有符合要求的消毒池（垫）。</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（说明：消毒池（垫）须与门等宽，长度不少于2米，存在上述要求中任何一项不符合的，应勾选“否”，并注明具体不符合内容。）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14.加工存放区是否设更衣室、盥洗室和浴室。更衣室应配有消毒杀菌装置，与工作人员数量相适应的更衣柜，日常衣物和工作服是否分柜放置；盥洗室内应有洗手消毒设施、防护用品、清洗消毒的设备。</w:t>
            </w:r>
          </w:p>
          <w:p>
            <w:pPr>
              <w:pStyle w:val="92"/>
              <w:spacing w:line="560" w:lineRule="exact"/>
              <w:ind w:firstLineChars="200" w:firstLine="480"/>
              <w:rPr>
                <w:rFonts w:ascii="方正楷体_GBK" w:eastAsia="方正楷体_GBK" w:cs="方正楷体_GBK"/>
                <w:color w:val="000000"/>
                <w:sz w:val="24"/>
              </w:rPr>
            </w:pPr>
            <w:r>
              <w:rPr>
                <w:rFonts w:ascii="方正楷体_GBK" w:eastAsia="方正楷体_GBK" w:cs="方正楷体_GBK" w:hint="eastAsia"/>
                <w:color w:val="000000"/>
                <w:sz w:val="24"/>
              </w:rPr>
              <w:t>（说明：存在该</w:t>
            </w:r>
            <w:r>
              <w:rPr>
                <w:rFonts w:ascii="方正楷体_GBK" w:eastAsia="方正楷体_GBK" w:cs="方正楷体_GBK" w:hint="eastAsia"/>
                <w:color w:val="000000"/>
                <w:sz w:val="24"/>
                <w:lang w:val="en-US" w:eastAsia="zh-CN"/>
              </w:rPr>
              <w:t>自查</w:t>
            </w:r>
            <w:r>
              <w:rPr>
                <w:rFonts w:ascii="方正楷体_GBK" w:eastAsia="方正楷体_GBK" w:cs="方正楷体_GBK" w:hint="eastAsia"/>
                <w:color w:val="000000"/>
                <w:sz w:val="24"/>
              </w:rPr>
              <w:t>内容中任何一项不符合的，应勾选“否”，并注明具体不符合内容。）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15.接触原料的工作人员是否配备工作服、工作鞋、帽、手套、口罩等必要的防护用品，并有相应的清洗消毒设施。</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16.是否配备与加工存放动物产品类别、加工存放能力相适应的防疫消毒器械和防疫消毒药品，并存放在专人保管的专用存放场所。</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17.是否配备必要的突发疫情应急处置设施和物资。（风险类型：4.1.3.1.1.3）</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（说明：突发疫情应急处置设施和物资包含消毒器械、药物等。）</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18.是否配备对进境非食用动物产品包装物或铺垫材料、加工过程中产生的下脚料与废弃物等进行无害化处理的设施。</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19.存放仓库及加工车间是否配备防盗、防鸟、防虫、灭鼠设施。</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20.加工设备是否与其指定时核准的加工能力相适应。</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21.加工工艺是否与指定时核准的工艺相一致。</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22.是否具有专用存放库，库容量应与生产加工能力相适应。</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23.进境非食用动物产品有储存温度要求时，仓库是否有与产品储存要求相适应的温度保持系统。</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○否 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 xml:space="preserve">○不适用 </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24.是否在厂区显著位置设立防疫知识宣传栏。</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（三）规章制度维护</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25.是否成立以单位主要负责人任组长的兽医卫生防疫领导小组并明确职责，各项规章制度是否持续有效。</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26.是否制定详细的疫情应急处置预案并根据需要进行维护。</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（四）日常管理及相关记录</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27.进境非食用动物产品入出库、加工、流向记录是否完整、真实。</w:t>
            </w:r>
          </w:p>
          <w:p>
            <w:pPr>
              <w:pStyle w:val="92"/>
              <w:spacing w:line="560" w:lineRule="exact"/>
              <w:ind w:firstLineChars="200" w:firstLine="480"/>
              <w:rPr>
                <w:rFonts w:ascii="方正楷体_GBK" w:eastAsia="方正楷体_GBK" w:cs="方正楷体_GBK"/>
                <w:color w:val="000000"/>
                <w:sz w:val="24"/>
              </w:rPr>
            </w:pPr>
            <w:r>
              <w:rPr>
                <w:rFonts w:ascii="方正楷体_GBK" w:eastAsia="方正楷体_GBK" w:cs="方正楷体_GBK" w:hint="eastAsia"/>
                <w:color w:val="000000"/>
                <w:sz w:val="24"/>
              </w:rPr>
              <w:t>（说明：核实货物到厂、剪铅封、开柜门、卸货、入库等关键环节影像资料及记录等内容。流向记录包括入出库记录、加工记录、下脚料流向记录等。存在上述要求中任何一项不符合的，应勾选“否”，并注明具体不符合内容；未发现相关记录存在虚假记载、重大遗漏、严重逻辑错误等情况的，应勾选“是”。）</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28.防疫处理记录是否完整、真实。</w:t>
            </w:r>
          </w:p>
          <w:p>
            <w:pPr>
              <w:pStyle w:val="92"/>
              <w:spacing w:line="560" w:lineRule="exact"/>
              <w:ind w:firstLineChars="200" w:firstLine="480"/>
              <w:rPr>
                <w:rFonts w:ascii="方正楷体_GBK" w:eastAsia="方正楷体_GBK" w:cs="方正楷体_GBK"/>
                <w:color w:val="000000"/>
                <w:sz w:val="24"/>
              </w:rPr>
            </w:pPr>
            <w:r>
              <w:rPr>
                <w:rFonts w:ascii="方正楷体_GBK" w:eastAsia="方正楷体_GBK" w:cs="方正楷体_GBK" w:hint="eastAsia"/>
                <w:color w:val="000000"/>
                <w:sz w:val="24"/>
              </w:rPr>
              <w:t>（说明：防疫处理记录包括非食用动物产品与车辆入场时防疫处理记录、入库时的防疫处理记录，非食用动物产品包装物、铺垫材料和加工过程中产生的下脚料、废弃物的防疫处理记录、场地日常防疫处理记录等。存在上述要求中任何一项不符合的，应勾选“否”，并注明具体不符合内容;未发现相关记录存在虚假记载、重大遗漏、严重逻辑错误等情况的，应勾选“是”。）</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29.药物使用及管理记录是否完整、真实。</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（说明：药物使用及管理记录包括采购、存放保管、使用（方法）、回收等记录。存在上述要求中任何一项不符合的，应勾选“否”，并注明具体不符合内容;</w:t>
            </w:r>
            <w:r>
              <w:rPr>
                <w:rFonts w:ascii="Calibri" w:eastAsia="方正仿宋_GBK" w:cs="Arial" w:hAnsi="Calibri" w:hint="eastAsia"/>
                <w:color w:val="000000"/>
                <w:sz w:val="28"/>
                <w:szCs w:val="22"/>
              </w:rPr>
              <w:t xml:space="preserve"> </w:t>
            </w:r>
            <w:r>
              <w:rPr>
                <w:rFonts w:ascii="方正楷体_GBK" w:eastAsia="方正楷体_GBK" w:cs="方正楷体_GBK" w:hint="eastAsia"/>
                <w:color w:val="000000"/>
                <w:sz w:val="24"/>
              </w:rPr>
              <w:t>未发现相关记录存在虚假记载、重大遗漏、严重逻辑错误等情况的，应勾选“是”。）</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30.是否有人员管理及培训记录。</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（说明：人员管理包括出入人员登记、人员防护、员工培训及体检等。存在上述要求中任何一项不符合的，应勾选“否”，并注明具体不符合内容。）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31.是否有防盗、防鸟、防虫、灭鼠等措施的落实记录。</w:t>
            </w:r>
          </w:p>
          <w:p>
            <w:pPr>
              <w:pStyle w:val="92"/>
              <w:spacing w:line="560" w:lineRule="exact"/>
              <w:ind w:firstLineChars="200" w:firstLine="480"/>
              <w:rPr>
                <w:rFonts w:eastAsia="方正仿宋_GBK"/>
                <w:color w:val="000000"/>
                <w:sz w:val="28"/>
                <w:szCs w:val="28"/>
              </w:rPr>
            </w:pPr>
            <w:r>
              <w:rPr>
                <w:rFonts w:ascii="方正楷体_GBK" w:eastAsia="方正楷体_GBK" w:cs="方正楷体_GBK" w:hint="eastAsia"/>
                <w:color w:val="000000"/>
                <w:sz w:val="24"/>
              </w:rPr>
              <w:t>（说明：存在上述要求中任何一项不符合的，应勾选“否”，并注明具体不符合内容。）</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pStyle w:val="92"/>
              <w:spacing w:line="560" w:lineRule="exact"/>
              <w:ind w:firstLineChars="200" w:firstLine="560"/>
              <w:rPr>
                <w:rFonts w:eastAsia="方正仿宋_GBK"/>
                <w:color w:val="000000"/>
                <w:sz w:val="28"/>
                <w:szCs w:val="28"/>
              </w:rPr>
            </w:pPr>
            <w:r>
              <w:rPr>
                <w:rFonts w:eastAsia="方正仿宋_GBK"/>
                <w:color w:val="000000"/>
                <w:sz w:val="28"/>
                <w:szCs w:val="28"/>
              </w:rPr>
              <w:t>情况描述：</w:t>
            </w:r>
          </w:p>
          <w:p>
            <w:pPr>
              <w:pStyle w:val="92"/>
              <w:spacing w:line="560" w:lineRule="exact"/>
              <w:ind w:firstLineChars="200" w:firstLine="560"/>
              <w:rPr>
                <w:rFonts w:eastAsia="方正仿宋_GBK"/>
                <w:color w:val="000000"/>
                <w:sz w:val="28"/>
              </w:rPr>
            </w:pPr>
            <w:r>
              <w:rPr>
                <w:rFonts w:eastAsia="方正仿宋_GBK" w:hint="eastAsia"/>
                <w:color w:val="000000"/>
                <w:sz w:val="28"/>
              </w:rPr>
              <w:t>32.是否规范填写《进境非食用动物产品生产、加工、存放指定企业监管手册》。</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○是    </w:t>
            </w:r>
          </w:p>
          <w:p>
            <w:pPr>
              <w:pStyle w:val="92"/>
              <w:spacing w:line="560" w:lineRule="exact"/>
              <w:ind w:firstLineChars="200" w:firstLine="560"/>
              <w:rPr>
                <w:rFonts w:eastAsia="方正仿宋_GBK" w:hint="eastAsia"/>
                <w:color w:val="000000"/>
                <w:sz w:val="28"/>
                <w:szCs w:val="28"/>
              </w:rPr>
            </w:pPr>
            <w:r>
              <w:rPr>
                <w:rFonts w:eastAsia="方正仿宋_GBK" w:hint="eastAsia"/>
                <w:color w:val="000000"/>
                <w:sz w:val="28"/>
                <w:szCs w:val="28"/>
              </w:rPr>
              <w:t xml:space="preserve">○否   </w:t>
            </w:r>
          </w:p>
          <w:p>
            <w:pPr>
              <w:pStyle w:val="92"/>
              <w:spacing w:line="560" w:lineRule="exact"/>
              <w:ind w:firstLineChars="200" w:firstLine="560"/>
              <w:rPr>
                <w:rFonts w:eastAsia="方正仿宋_GBK"/>
                <w:color w:val="000000"/>
                <w:sz w:val="28"/>
                <w:szCs w:val="28"/>
              </w:rPr>
            </w:pPr>
            <w:r>
              <w:rPr>
                <w:rFonts w:eastAsia="方正仿宋_GBK" w:hint="eastAsia"/>
                <w:color w:val="000000"/>
                <w:sz w:val="28"/>
                <w:szCs w:val="28"/>
              </w:rPr>
              <w:t>○不适用</w:t>
            </w:r>
          </w:p>
          <w:p>
            <w:pPr>
              <w:spacing w:line="480" w:lineRule="exact"/>
              <w:ind w:firstLineChars="200" w:firstLine="560"/>
              <w:rPr>
                <w:rFonts w:eastAsia="方正仿宋_GBK"/>
                <w:color w:val="000000"/>
                <w:sz w:val="28"/>
                <w:szCs w:val="28"/>
              </w:rPr>
            </w:pPr>
            <w:r>
              <w:rPr>
                <w:rFonts w:eastAsia="方正仿宋_GBK"/>
                <w:color w:val="000000"/>
                <w:sz w:val="28"/>
                <w:szCs w:val="28"/>
              </w:rPr>
              <w:t>情况描述：</w:t>
            </w:r>
          </w:p>
          <w:p>
            <w:pPr>
              <w:spacing w:line="480" w:lineRule="exact"/>
              <w:ind w:firstLineChars="200" w:firstLine="560"/>
              <w:rPr>
                <w:rFonts w:eastAsia="方正仿宋_GBK"/>
                <w:color w:val="000000"/>
                <w:sz w:val="28"/>
                <w:szCs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7"/>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7"/>
              <w:spacing w:line="480" w:lineRule="exact"/>
              <w:ind w:firstLineChars="200" w:firstLine="560"/>
              <w:rPr>
                <w:rFonts w:ascii="Times New Roman" w:eastAsia="方正仿宋_GBK" w:hAnsi="Times New Roman"/>
                <w:sz w:val="28"/>
              </w:rPr>
            </w:pP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hint="eastAsia"/>
                <w:sz w:val="28"/>
                <w:szCs w:val="28"/>
                <w:lang w:eastAsia="zh-CN"/>
              </w:rPr>
            </w:pPr>
            <w:r>
              <w:rPr>
                <w:rFonts w:ascii="Times New Roman" w:eastAsia="方正仿宋_GBK" w:hAnsi="Times New Roman" w:hint="eastAsia"/>
                <w:sz w:val="28"/>
                <w:szCs w:val="28"/>
                <w:lang w:val="en-US" w:eastAsia="zh-CN"/>
              </w:rPr>
              <w:t xml:space="preserve">                                          </w:t>
            </w: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公章</w:t>
            </w:r>
            <w:r>
              <w:rPr>
                <w:rFonts w:ascii="Times New Roman" w:eastAsia="方正仿宋_GBK" w:hAnsi="Times New Roman" w:hint="eastAsia"/>
                <w:sz w:val="28"/>
                <w:szCs w:val="28"/>
                <w:lang w:eastAsia="zh-CN"/>
              </w:rPr>
              <w:t>）</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821"/>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altName w:val="微软雅黑"/>
    <w:panose1 w:val="00000000000000000000"/>
    <w:charset w:val="86"/>
    <w:family w:val="script"/>
    <w:pitch w:val="variable"/>
    <w:sig w:usb0="00000000" w:usb1="00000000" w:usb2="00000010" w:usb3="00000000" w:csb0="00040000" w:csb1="00000000"/>
  </w:font>
  <w:font w:name="方正楷体_GBK">
    <w:altName w:val="微软雅黑"/>
    <w:panose1 w:val="00000000000000000000"/>
    <w:charset w:val="86"/>
    <w:family w:val="script"/>
    <w:pitch w:val="variable"/>
    <w:sig w:usb0="00000000" w:usb1="00000000" w:usb2="00000010" w:usb3="00000000" w:csb0="00040000" w:csb1="00000000"/>
  </w:font>
  <w:font w:name="方正仿宋_GBK">
    <w:altName w:val="微软雅黑"/>
    <w:panose1 w:val="00000000000000000000"/>
    <w:charset w:val="86"/>
    <w:family w:val="script"/>
    <w:pitch w:val="variable"/>
    <w:sig w:usb0="00000000" w:usb1="00000000" w:usb2="00000010" w:usb3="00000000" w:csb0="00040000" w:csb1="00000000"/>
  </w:font>
  <w:font w:name="方正黑体_GBK">
    <w:altName w:val="微软雅黑"/>
    <w:panose1 w:val="00000000000000000000"/>
    <w:charset w:val="86"/>
    <w:family w:val="script"/>
    <w:pitch w:val="variable"/>
    <w:sig w:usb0="00000000" w:usb1="00000000" w:usb2="00000010" w:usb3="00000000" w:csb0="00040000" w:csb1="00000000"/>
  </w:font>
  <w:font w:name="Calibri">
    <w:panose1 w:val="020F0502020204030204"/>
    <w:charset w:val="00"/>
    <w:family w:val="swiss"/>
    <w:pitch w:val="variable"/>
    <w:sig w:usb0="E0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方正仿宋简体">
    <w:altName w:val="宋体"/>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WJmYTc3YWQxMGY3NjJjNTJmYzEyOWZiMzE5NThi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next w:val="79"/>
    <w:pPr>
      <w:widowControl w:val="0"/>
      <w:jc w:val="both"/>
    </w:pPr>
    <w:rPr>
      <w:rFonts w:ascii="Calibri" w:eastAsia="宋体" w:cs="Arial" w:hAnsi="Calibri"/>
      <w:kern w:val="2"/>
      <w:sz w:val="21"/>
      <w:szCs w:val="22"/>
      <w:lang w:val="en-US" w:eastAsia="zh-CN" w:bidi="ar-SA"/>
    </w:rPr>
  </w:style>
  <w:style w:type="paragraph" w:customStyle="1" w:styleId="79">
    <w:name w:val="样式 59 10 磅1"/>
    <w:pPr>
      <w:widowControl w:val="0"/>
      <w:jc w:val="both"/>
    </w:pPr>
    <w:rPr>
      <w:rFonts w:ascii="Calibri" w:eastAsia="宋体" w:cs="Arial" w:hAnsi="Calibri"/>
      <w:kern w:val="2"/>
      <w:sz w:val="21"/>
      <w:szCs w:val="22"/>
      <w:lang w:val="en-US" w:eastAsia="zh-CN" w:bidi="ar-SA"/>
    </w:rPr>
  </w:style>
  <w:style w:type="paragraph" w:customStyle="1" w:styleId="80">
    <w:name w:val="样式 60 10 磅"/>
    <w:pPr>
      <w:widowControl w:val="0"/>
      <w:jc w:val="both"/>
    </w:pPr>
    <w:rPr>
      <w:rFonts w:ascii="Calibri" w:eastAsia="宋体" w:cs="Arial" w:hAnsi="Calibri"/>
      <w:kern w:val="2"/>
      <w:sz w:val="21"/>
      <w:szCs w:val="22"/>
      <w:lang w:val="en-US" w:eastAsia="zh-CN" w:bidi="ar-SA"/>
    </w:rPr>
  </w:style>
  <w:style w:type="paragraph" w:customStyle="1" w:styleId="81">
    <w:name w:val="样式 61 10 磅"/>
    <w:pPr>
      <w:widowControl w:val="0"/>
      <w:jc w:val="both"/>
    </w:pPr>
    <w:rPr>
      <w:rFonts w:ascii="Calibri" w:eastAsia="宋体" w:cs="Arial" w:hAnsi="Calibri"/>
      <w:kern w:val="2"/>
      <w:sz w:val="21"/>
      <w:szCs w:val="22"/>
      <w:lang w:val="en-US" w:eastAsia="zh-CN" w:bidi="ar-SA"/>
    </w:rPr>
  </w:style>
  <w:style w:type="paragraph" w:customStyle="1" w:styleId="82">
    <w:name w:val="样式 62 10 磅"/>
    <w:pPr>
      <w:widowControl w:val="0"/>
      <w:jc w:val="both"/>
    </w:pPr>
    <w:rPr>
      <w:rFonts w:ascii="Calibri" w:eastAsia="宋体" w:cs="Arial" w:hAnsi="Calibri"/>
      <w:kern w:val="2"/>
      <w:sz w:val="21"/>
      <w:szCs w:val="22"/>
      <w:lang w:val="en-US" w:eastAsia="zh-CN" w:bidi="ar-SA"/>
    </w:rPr>
  </w:style>
  <w:style w:type="paragraph" w:customStyle="1" w:styleId="83">
    <w:name w:val="样式 63 10 磅"/>
    <w:pPr>
      <w:widowControl w:val="0"/>
      <w:jc w:val="both"/>
    </w:pPr>
    <w:rPr>
      <w:rFonts w:ascii="Calibri" w:eastAsia="宋体" w:cs="Arial" w:hAnsi="Calibri"/>
      <w:kern w:val="2"/>
      <w:sz w:val="21"/>
      <w:szCs w:val="22"/>
      <w:lang w:val="en-US" w:eastAsia="zh-CN" w:bidi="ar-SA"/>
    </w:rPr>
  </w:style>
  <w:style w:type="paragraph" w:customStyle="1" w:styleId="84">
    <w:name w:val="样式 64 10 磅"/>
    <w:pPr>
      <w:widowControl w:val="0"/>
      <w:jc w:val="both"/>
    </w:pPr>
    <w:rPr>
      <w:rFonts w:ascii="Calibri" w:eastAsia="宋体" w:cs="Arial" w:hAnsi="Calibri"/>
      <w:kern w:val="2"/>
      <w:sz w:val="21"/>
      <w:szCs w:val="22"/>
      <w:lang w:val="en-US" w:eastAsia="zh-CN" w:bidi="ar-SA"/>
    </w:rPr>
  </w:style>
  <w:style w:type="paragraph" w:customStyle="1" w:styleId="85">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6">
    <w:name w:val="样式 66 10 磅"/>
    <w:pPr>
      <w:widowControl w:val="0"/>
      <w:jc w:val="both"/>
    </w:pPr>
    <w:rPr>
      <w:rFonts w:ascii="Calibri" w:eastAsia="宋体" w:cs="Arial" w:hAnsi="Calibri"/>
      <w:kern w:val="2"/>
      <w:sz w:val="21"/>
      <w:szCs w:val="22"/>
      <w:lang w:val="en-US" w:eastAsia="zh-CN" w:bidi="ar-SA"/>
    </w:rPr>
  </w:style>
  <w:style w:type="paragraph" w:customStyle="1" w:styleId="87">
    <w:name w:val="样式 67 10 磅"/>
    <w:pPr>
      <w:widowControl w:val="0"/>
      <w:jc w:val="both"/>
    </w:pPr>
    <w:rPr>
      <w:rFonts w:ascii="Calibri" w:eastAsia="宋体" w:cs="Arial" w:hAnsi="Calibri"/>
      <w:kern w:val="2"/>
      <w:sz w:val="21"/>
      <w:szCs w:val="22"/>
      <w:lang w:val="en-US" w:eastAsia="zh-CN" w:bidi="ar-SA"/>
    </w:rPr>
  </w:style>
  <w:style w:type="paragraph" w:customStyle="1" w:styleId="88">
    <w:name w:val="样式 68 10 磅"/>
    <w:pPr>
      <w:widowControl w:val="0"/>
      <w:jc w:val="both"/>
    </w:pPr>
    <w:rPr>
      <w:rFonts w:ascii="Calibri" w:eastAsia="宋体" w:cs="Arial" w:hAnsi="Calibri"/>
      <w:kern w:val="2"/>
      <w:sz w:val="21"/>
      <w:szCs w:val="22"/>
      <w:lang w:val="en-US" w:eastAsia="zh-CN" w:bidi="ar-SA"/>
    </w:rPr>
  </w:style>
  <w:style w:type="paragraph" w:customStyle="1" w:styleId="89">
    <w:name w:val="样式 69 10 磅"/>
    <w:pPr>
      <w:widowControl w:val="0"/>
      <w:jc w:val="both"/>
    </w:pPr>
    <w:rPr>
      <w:rFonts w:ascii="Calibri" w:eastAsia="宋体" w:cs="Arial" w:hAnsi="Calibri"/>
      <w:kern w:val="2"/>
      <w:sz w:val="21"/>
      <w:szCs w:val="22"/>
      <w:lang w:val="en-US" w:eastAsia="zh-CN" w:bidi="ar-SA"/>
    </w:rPr>
  </w:style>
  <w:style w:type="paragraph" w:customStyle="1" w:styleId="90">
    <w:name w:val="样式 70 10 磅"/>
    <w:pPr>
      <w:widowControl w:val="0"/>
      <w:jc w:val="both"/>
    </w:pPr>
    <w:rPr>
      <w:rFonts w:ascii="Calibri" w:eastAsia="宋体" w:cs="Arial" w:hAnsi="Calibri"/>
      <w:kern w:val="2"/>
      <w:sz w:val="21"/>
      <w:szCs w:val="22"/>
      <w:lang w:val="en-US" w:eastAsia="zh-CN" w:bidi="ar-SA"/>
    </w:rPr>
  </w:style>
  <w:style w:type="paragraph" w:customStyle="1" w:styleId="91">
    <w:name w:val="样式 71 10 磅"/>
    <w:pPr>
      <w:widowControl w:val="0"/>
      <w:jc w:val="both"/>
    </w:pPr>
    <w:rPr>
      <w:rFonts w:ascii="Calibri" w:eastAsia="宋体" w:cs="Arial" w:hAnsi="Calibri"/>
      <w:kern w:val="2"/>
      <w:sz w:val="21"/>
      <w:szCs w:val="22"/>
      <w:lang w:val="en-US" w:eastAsia="zh-CN" w:bidi="ar-SA"/>
    </w:rPr>
  </w:style>
  <w:style w:type="paragraph" w:customStyle="1" w:styleId="92">
    <w:name w:val="正文5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3">
    <w:name w:val="正文57"/>
    <w:pPr>
      <w:widowControl w:val="0"/>
      <w:jc w:val="both"/>
    </w:pPr>
    <w:rPr>
      <w:rFonts w:ascii="Times New Roman" w:eastAsia="方正仿宋简体" w:cs="Times New Roman" w:hAnsi="Times New Roman"/>
      <w:kern w:val="2"/>
      <w:sz w:val="21"/>
      <w:szCs w:val="24"/>
      <w:lang w:val="en-US" w:eastAsia="zh-CN" w:bidi="ar-SA"/>
    </w:rPr>
  </w:style>
  <w:style w:type="paragraph" w:styleId="94">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95">
    <w:name w:val="样式 72 10 磅"/>
    <w:pPr>
      <w:widowControl w:val="0"/>
      <w:jc w:val="both"/>
    </w:pPr>
    <w:rPr>
      <w:rFonts w:ascii="Calibri" w:eastAsia="宋体" w:cs="Arial" w:hAnsi="Calibri"/>
      <w:kern w:val="2"/>
      <w:sz w:val="21"/>
      <w:szCs w:val="22"/>
      <w:lang w:val="en-US" w:eastAsia="zh-CN" w:bidi="ar-SA"/>
    </w:rPr>
  </w:style>
  <w:style w:type="paragraph" w:customStyle="1" w:styleId="96">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97">
    <w:name w:val="样式 74 10 磅"/>
    <w:pPr>
      <w:widowControl w:val="0"/>
      <w:jc w:val="both"/>
    </w:pPr>
    <w:rPr>
      <w:rFonts w:ascii="Calibri" w:eastAsia="宋体" w:cs="Arial" w:hAnsi="Calibri"/>
      <w:kern w:val="2"/>
      <w:sz w:val="21"/>
      <w:szCs w:val="22"/>
      <w:lang w:val="en-US" w:eastAsia="zh-CN" w:bidi="ar-SA"/>
    </w:rPr>
  </w:style>
  <w:style w:type="paragraph" w:customStyle="1" w:styleId="98">
    <w:name w:val="样式 75 10 磅"/>
    <w:pPr>
      <w:widowControl w:val="0"/>
      <w:jc w:val="both"/>
    </w:pPr>
    <w:rPr>
      <w:rFonts w:ascii="Calibri" w:eastAsia="宋体" w:cs="Arial" w:hAnsi="Calibri"/>
      <w:kern w:val="2"/>
      <w:sz w:val="21"/>
      <w:szCs w:val="22"/>
      <w:lang w:val="en-US" w:eastAsia="zh-CN" w:bidi="ar-SA"/>
    </w:rPr>
  </w:style>
  <w:style w:type="paragraph" w:customStyle="1" w:styleId="99">
    <w:name w:val="样式 76 10 磅"/>
    <w:pPr>
      <w:widowControl w:val="0"/>
      <w:jc w:val="both"/>
    </w:pPr>
    <w:rPr>
      <w:rFonts w:ascii="Calibri" w:eastAsia="宋体" w:cs="Arial" w:hAnsi="Calibri"/>
      <w:kern w:val="2"/>
      <w:sz w:val="21"/>
      <w:szCs w:val="22"/>
      <w:lang w:val="en-US" w:eastAsia="zh-CN" w:bidi="ar-SA"/>
    </w:rPr>
  </w:style>
  <w:style w:type="paragraph" w:customStyle="1" w:styleId="100">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1">
    <w:name w:val="样式 77 10 磅"/>
    <w:next w:val="87"/>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23</cp:revision>
  <cp:lastPrinted>2021-03-23T22:36:00Z</cp:lastPrinted>
  <dcterms:created xsi:type="dcterms:W3CDTF">2024-10-24T09:15:00Z</dcterms:created>
  <dcterms:modified xsi:type="dcterms:W3CDTF">2025-03-06T06:26:11Z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C1AA4D247C1D44C897324DDAE76EE368_13</vt:lpwstr>
  </property>
</Properties>
</file>