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36"/>
          <w:szCs w:val="36"/>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w:t>
      </w:r>
      <w:r>
        <w:rPr>
          <w:rFonts w:ascii="Times New Roman" w:eastAsia="方正小标宋_GBK" w:cs="Times New Roman" w:hAnsi="Times New Roman"/>
          <w:sz w:val="36"/>
          <w:szCs w:val="36"/>
        </w:rPr>
        <w:t>进境生物材料（I、II级风险）使用单位核查</w:t>
      </w:r>
      <w:r>
        <w:rPr>
          <w:rFonts w:ascii="Times New Roman" w:eastAsia="方正小标宋_GBK" w:hAnsi="Times New Roman" w:hint="eastAsia"/>
          <w:sz w:val="36"/>
          <w:szCs w:val="36"/>
        </w:rPr>
        <w:t>）</w:t>
      </w:r>
      <w:bookmarkEnd w:id="0"/>
    </w:p>
    <w:p>
      <w:pPr>
        <w:widowControl/>
        <w:spacing w:line="560" w:lineRule="exact"/>
        <w:jc w:val="center"/>
        <w:outlineLvl w:val="0"/>
        <w:rPr>
          <w:rFonts w:ascii="Times New Roman" w:eastAsia="方正小标宋_GBK" w:hAnsi="Times New Roman"/>
          <w:sz w:val="44"/>
          <w:szCs w:val="44"/>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21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2"/>
              <w:spacing w:line="0" w:lineRule="atLeast"/>
              <w:rPr>
                <w:rFonts w:eastAsia="方正仿宋_GBK"/>
                <w:sz w:val="28"/>
              </w:rPr>
            </w:pPr>
            <w:r>
              <w:rPr>
                <w:rFonts w:ascii="Times New Roman" w:eastAsia="方正仿宋_GBK" w:cs="方正仿宋_GBK" w:hAnsi="Times New Roman"/>
                <w:color w:val="000000"/>
                <w:sz w:val="28"/>
                <w:szCs w:val="28"/>
              </w:rPr>
              <w:t>（可根据实际填写）</w:t>
            </w:r>
            <w:r>
              <w:rPr>
                <w:rFonts w:ascii="Times New Roman" w:eastAsia="方正仿宋_GBK" w:cs="方正仿宋_GBK" w:hAnsi="Times New Roman" w:hint="eastAsia"/>
                <w:color w:val="000000"/>
                <w:sz w:val="28"/>
                <w:szCs w:val="28"/>
              </w:rPr>
              <w:t>核实企业、单位质量安全、兽医防控体系运行的持续符合性。</w:t>
            </w:r>
          </w:p>
        </w:tc>
      </w:tr>
      <w:tr>
        <w:trPr>
          <w:trHeight w:val="926"/>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2"/>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1111"/>
        </w:trPr>
        <w:tc>
          <w:tcPr>
            <w:tcW w:w="1578" w:type="dxa"/>
            <w:tcBorders>
              <w:top w:val="single" w:sz="4" w:space="0" w:color="auto"/>
              <w:left w:val="single" w:sz="4" w:space="0" w:color="auto"/>
              <w:bottom w:val="single" w:sz="4" w:space="0" w:color="auto"/>
              <w:right w:val="single" w:sz="4" w:space="0" w:color="auto"/>
            </w:tcBorders>
            <w:noWrap/>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rPr>
            </w:pPr>
          </w:p>
        </w:tc>
        <w:tc>
          <w:tcPr>
            <w:tcW w:w="1543"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highlight w:val="yellow"/>
              </w:rPr>
            </w:pPr>
          </w:p>
        </w:tc>
      </w:tr>
    </w:tbl>
    <w:p>
      <w:pPr>
        <w:pStyle w:val="18"/>
        <w:widowControl/>
        <w:spacing w:line="560" w:lineRule="exact"/>
        <w:jc w:val="center"/>
        <w:rPr>
          <w:rFonts w:ascii="Times New Roman" w:eastAsia="方正小标宋_GBK" w:hAnsi="Times New Roman"/>
          <w:sz w:val="44"/>
          <w:szCs w:val="44"/>
        </w:rPr>
      </w:pPr>
    </w:p>
    <w:p>
      <w:pPr>
        <w:widowControl/>
        <w:jc w:val="left"/>
        <w:rPr>
          <w:rFonts w:ascii="Times New Roman" w:eastAsia="方正小标宋_GBK" w:hAnsi="Times New Roman"/>
          <w:sz w:val="44"/>
          <w:szCs w:val="44"/>
        </w:rPr>
      </w:pPr>
    </w:p>
    <w:p>
      <w:pPr>
        <w:widowControl/>
        <w:jc w:val="left"/>
        <w:rPr>
          <w:rFonts w:ascii="Times New Roman" w:eastAsia="方正小标宋_GBK" w:hAnsi="Times New Roman"/>
          <w:sz w:val="44"/>
          <w:szCs w:val="44"/>
        </w:rPr>
      </w:pPr>
    </w:p>
    <w:p>
      <w:pPr>
        <w:pStyle w:val="150"/>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151"/>
      </w:pPr>
    </w:p>
    <w:p>
      <w:pPr>
        <w:pStyle w:val="152"/>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53"/>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54"/>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7"/>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96"/>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49"/>
        <w:rPr>
          <w:rFonts w:eastAsia="方正小标宋_GBK"/>
          <w:sz w:val="28"/>
          <w:szCs w:val="28"/>
        </w:rPr>
      </w:pPr>
    </w:p>
    <w:p>
      <w:pPr>
        <w:pStyle w:val="149"/>
        <w:rPr>
          <w:rFonts w:eastAsia="方正小标宋_GBK"/>
          <w:sz w:val="28"/>
          <w:szCs w:val="28"/>
        </w:rPr>
      </w:pPr>
    </w:p>
    <w:p>
      <w:pPr>
        <w:pStyle w:val="15"/>
      </w:pPr>
    </w:p>
    <w:p>
      <w:pPr>
        <w:pStyle w:val="15"/>
      </w:pPr>
    </w:p>
    <w:p>
      <w:pPr>
        <w:pStyle w:val="83"/>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677"/>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eastAsia="方正仿宋_GBK"/>
                <w:sz w:val="28"/>
                <w:szCs w:val="28"/>
              </w:rPr>
            </w:pPr>
            <w:r>
              <w:rPr>
                <w:rFonts w:eastAsia="方正仿宋_GBK" w:hint="eastAsia"/>
                <w:sz w:val="28"/>
                <w:szCs w:val="28"/>
              </w:rPr>
              <w:t>1. 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w:t>
            </w:r>
            <w:r>
              <w:rPr>
                <w:rFonts w:ascii="方正楷体_GBK" w:eastAsia="方正楷体_GBK"/>
                <w:sz w:val="24"/>
                <w:szCs w:val="24"/>
              </w:rPr>
              <w:t>进</w:t>
            </w:r>
            <w:r>
              <w:rPr>
                <w:rFonts w:ascii="方正楷体_GBK" w:eastAsia="方正楷体_GBK" w:hint="eastAsia"/>
                <w:sz w:val="24"/>
                <w:szCs w:val="24"/>
              </w:rPr>
              <w:t>口生物材料（</w:t>
            </w:r>
            <w:r>
              <w:rPr>
                <w:rFonts w:ascii="方正楷体_GBK" w:eastAsia="方正楷体_GBK"/>
                <w:sz w:val="24"/>
                <w:szCs w:val="24"/>
              </w:rPr>
              <w:t>I</w:t>
            </w:r>
            <w:r>
              <w:rPr>
                <w:rFonts w:ascii="方正楷体_GBK" w:eastAsia="方正楷体_GBK" w:hint="eastAsia"/>
                <w:sz w:val="24"/>
                <w:szCs w:val="24"/>
              </w:rPr>
              <w:t>、</w:t>
            </w:r>
            <w:r>
              <w:rPr>
                <w:rFonts w:ascii="方正楷体_GBK" w:eastAsia="方正楷体_GBK"/>
                <w:sz w:val="24"/>
                <w:szCs w:val="24"/>
              </w:rPr>
              <w:t>II</w:t>
            </w:r>
            <w:r>
              <w:rPr>
                <w:rFonts w:ascii="方正楷体_GBK" w:eastAsia="方正楷体_GBK" w:hint="eastAsia"/>
                <w:sz w:val="24"/>
                <w:szCs w:val="24"/>
              </w:rPr>
              <w:t>级风险）情况，包括但不限于品种、数量、目的地/原产地等，可另附页。）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2.企业在海关注册登记或备案信息与实际是否相符</w:t>
            </w:r>
            <w:r>
              <w:rPr>
                <w:rFonts w:ascii="Times New Roman" w:eastAsia="方正仿宋_GBK" w:hAnsi="Times New Roman"/>
                <w:sz w:val="28"/>
                <w:szCs w:val="28"/>
              </w:rPr>
              <w:t>，</w:t>
            </w:r>
            <w:r>
              <w:rPr>
                <w:rFonts w:ascii="Times New Roman" w:eastAsia="方正仿宋_GBK" w:hAnsi="Times New Roman" w:hint="eastAsia"/>
                <w:sz w:val="28"/>
                <w:szCs w:val="28"/>
                <w:lang w:val="en-US" w:eastAsia="zh-CN"/>
              </w:rPr>
              <w:t>自查</w:t>
            </w:r>
            <w:r>
              <w:rPr>
                <w:rFonts w:ascii="Times New Roman" w:eastAsia="方正仿宋_GBK" w:hAnsi="Times New Roman"/>
                <w:sz w:val="28"/>
                <w:szCs w:val="28"/>
              </w:rPr>
              <w:t>事项涉及</w:t>
            </w:r>
            <w:r>
              <w:rPr>
                <w:rFonts w:ascii="Times New Roman" w:eastAsia="方正仿宋_GBK" w:hAnsi="Times New Roman" w:hint="eastAsia"/>
                <w:sz w:val="28"/>
                <w:szCs w:val="28"/>
              </w:rPr>
              <w:t>资质</w:t>
            </w:r>
            <w:r>
              <w:rPr>
                <w:rFonts w:ascii="Times New Roman" w:eastAsia="方正仿宋_GBK" w:hAnsi="Times New Roman"/>
                <w:sz w:val="28"/>
                <w:szCs w:val="28"/>
              </w:rPr>
              <w:t>证书</w:t>
            </w:r>
            <w:r>
              <w:rPr>
                <w:rFonts w:ascii="Times New Roman" w:eastAsia="方正仿宋_GBK" w:hAnsi="Times New Roman" w:hint="eastAsia"/>
                <w:sz w:val="28"/>
                <w:szCs w:val="28"/>
              </w:rPr>
              <w:t>或备案信息</w:t>
            </w:r>
            <w:r>
              <w:rPr>
                <w:rFonts w:ascii="Times New Roman" w:eastAsia="方正仿宋_GBK" w:hAnsi="Times New Roman"/>
                <w:sz w:val="28"/>
                <w:szCs w:val="28"/>
              </w:rPr>
              <w:t>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相关资质证书是否有效。提供营业执照、法定代表人身份证明、相关资质证书、注册登记或备案证明等佐证材料。实际经营场所发生变更的，第3-8项无需填写。）</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是否落实进境生物材料（</w:t>
            </w:r>
            <w:r>
              <w:rPr>
                <w:rFonts w:ascii="Times New Roman" w:eastAsia="方正仿宋_GBK" w:hAnsi="Times New Roman"/>
                <w:color w:val="000000"/>
                <w:sz w:val="28"/>
                <w:szCs w:val="28"/>
              </w:rPr>
              <w:t>I</w:t>
            </w:r>
            <w:r>
              <w:rPr>
                <w:rFonts w:ascii="Times New Roman" w:eastAsia="方正仿宋_GBK" w:cs="方正仿宋_GBK" w:hAnsi="Times New Roman" w:hint="eastAsia"/>
                <w:color w:val="000000"/>
                <w:sz w:val="28"/>
                <w:szCs w:val="28"/>
              </w:rPr>
              <w:t>、</w:t>
            </w:r>
            <w:r>
              <w:rPr>
                <w:rFonts w:ascii="Times New Roman" w:eastAsia="方正仿宋_GBK" w:hAnsi="Times New Roman"/>
                <w:color w:val="000000"/>
                <w:sz w:val="28"/>
                <w:szCs w:val="28"/>
              </w:rPr>
              <w:t>II</w:t>
            </w:r>
            <w:r>
              <w:rPr>
                <w:rFonts w:ascii="Times New Roman" w:eastAsia="方正仿宋_GBK" w:cs="方正仿宋_GBK" w:hAnsi="Times New Roman" w:hint="eastAsia"/>
                <w:color w:val="000000"/>
                <w:sz w:val="28"/>
                <w:szCs w:val="28"/>
              </w:rPr>
              <w:t>级风险）使用、管理制度</w:t>
            </w:r>
            <w:r>
              <w:rPr>
                <w:rFonts w:ascii="Times New Roman" w:eastAsia="方正仿宋_GBK" w:hAnsi="Times New Roman" w:hint="eastAsia"/>
                <w:sz w:val="28"/>
                <w:szCs w:val="28"/>
              </w:rPr>
              <w:t>：</w:t>
            </w:r>
          </w:p>
          <w:p>
            <w:pPr>
              <w:pStyle w:val="133"/>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（说明：自查是否制定</w:t>
            </w:r>
            <w:r>
              <w:rPr>
                <w:rFonts w:ascii="方正楷体_GBK" w:eastAsia="方正楷体_GBK" w:cs="方正仿宋_GBK" w:hint="eastAsia"/>
                <w:sz w:val="24"/>
                <w:szCs w:val="24"/>
              </w:rPr>
              <w:t>进境生物材料（</w:t>
            </w:r>
            <w:r>
              <w:rPr>
                <w:rFonts w:ascii="方正楷体_GBK" w:eastAsia="方正楷体_GBK" w:cs="方正仿宋_GBK"/>
                <w:sz w:val="24"/>
                <w:szCs w:val="24"/>
              </w:rPr>
              <w:t>I</w:t>
            </w:r>
            <w:r>
              <w:rPr>
                <w:rFonts w:ascii="方正楷体_GBK" w:eastAsia="方正楷体_GBK" w:cs="方正仿宋_GBK" w:hint="eastAsia"/>
                <w:sz w:val="24"/>
                <w:szCs w:val="24"/>
              </w:rPr>
              <w:t>、</w:t>
            </w:r>
            <w:r>
              <w:rPr>
                <w:rFonts w:ascii="方正楷体_GBK" w:eastAsia="方正楷体_GBK" w:cs="方正仿宋_GBK"/>
                <w:sz w:val="24"/>
                <w:szCs w:val="24"/>
              </w:rPr>
              <w:t>II</w:t>
            </w:r>
            <w:r>
              <w:rPr>
                <w:rFonts w:ascii="方正楷体_GBK" w:eastAsia="方正楷体_GBK" w:cs="方正仿宋_GBK" w:hint="eastAsia"/>
                <w:sz w:val="24"/>
                <w:szCs w:val="24"/>
              </w:rPr>
              <w:t>级风险）使用、管理制度</w:t>
            </w:r>
            <w:r>
              <w:rPr>
                <w:rFonts w:ascii="方正楷体_GBK" w:eastAsia="方正楷体_GBK" w:cs="方正仿宋_GBK"/>
                <w:sz w:val="24"/>
                <w:szCs w:val="24"/>
              </w:rPr>
              <w:t>，</w:t>
            </w:r>
            <w:r>
              <w:rPr>
                <w:rFonts w:ascii="方正楷体_GBK" w:eastAsia="方正楷体_GBK" w:cs="方正仿宋_GBK" w:hint="eastAsia"/>
                <w:sz w:val="24"/>
                <w:szCs w:val="24"/>
              </w:rPr>
              <w:t>并按照制度</w:t>
            </w:r>
            <w:r>
              <w:rPr>
                <w:rFonts w:ascii="方正楷体_GBK" w:eastAsia="方正楷体_GBK" w:cs="方正仿宋_GBK"/>
                <w:sz w:val="24"/>
                <w:szCs w:val="24"/>
              </w:rPr>
              <w:t>留存相关执行记录。</w:t>
            </w:r>
            <w:r>
              <w:rPr>
                <w:rFonts w:ascii="方正楷体_GBK" w:eastAsia="方正楷体_GBK" w:cs="Arial" w:hint="eastAsia"/>
                <w:sz w:val="24"/>
                <w:szCs w:val="24"/>
              </w:rPr>
              <w:t>进境生物材料（</w:t>
            </w:r>
            <w:r>
              <w:rPr>
                <w:rFonts w:ascii="方正楷体_GBK" w:eastAsia="方正楷体_GBK" w:cs="Arial"/>
                <w:sz w:val="24"/>
                <w:szCs w:val="24"/>
              </w:rPr>
              <w:t>I</w:t>
            </w:r>
            <w:r>
              <w:rPr>
                <w:rFonts w:ascii="方正楷体_GBK" w:eastAsia="方正楷体_GBK" w:cs="Arial" w:hint="eastAsia"/>
                <w:sz w:val="24"/>
                <w:szCs w:val="24"/>
              </w:rPr>
              <w:t>、</w:t>
            </w:r>
            <w:r>
              <w:rPr>
                <w:rFonts w:ascii="方正楷体_GBK" w:eastAsia="方正楷体_GBK" w:cs="Arial"/>
                <w:sz w:val="24"/>
                <w:szCs w:val="24"/>
              </w:rPr>
              <w:t>II</w:t>
            </w:r>
            <w:r>
              <w:rPr>
                <w:rFonts w:ascii="方正楷体_GBK" w:eastAsia="方正楷体_GBK" w:cs="Arial" w:hint="eastAsia"/>
                <w:sz w:val="24"/>
                <w:szCs w:val="24"/>
              </w:rPr>
              <w:t>级风险）使用、管理制度指的是进境生物材料使用单位为了进境该批生物材料而根据《病原微生物实验室生物安全管理条例》、《兽医实验室生物安全管理规范》制定的使用、管理制度。进境生物材料（</w:t>
            </w:r>
            <w:r>
              <w:rPr>
                <w:rFonts w:ascii="方正楷体_GBK" w:eastAsia="方正楷体_GBK" w:cs="Arial"/>
                <w:sz w:val="24"/>
                <w:szCs w:val="24"/>
              </w:rPr>
              <w:t>I</w:t>
            </w:r>
            <w:r>
              <w:rPr>
                <w:rFonts w:ascii="方正楷体_GBK" w:eastAsia="方正楷体_GBK" w:cs="Arial" w:hint="eastAsia"/>
                <w:sz w:val="24"/>
                <w:szCs w:val="24"/>
              </w:rPr>
              <w:t>、</w:t>
            </w:r>
            <w:r>
              <w:rPr>
                <w:rFonts w:ascii="方正楷体_GBK" w:eastAsia="方正楷体_GBK" w:cs="Arial"/>
                <w:sz w:val="24"/>
                <w:szCs w:val="24"/>
              </w:rPr>
              <w:t>II</w:t>
            </w:r>
            <w:r>
              <w:rPr>
                <w:rFonts w:ascii="方正楷体_GBK" w:eastAsia="方正楷体_GBK" w:cs="Arial" w:hint="eastAsia"/>
                <w:sz w:val="24"/>
                <w:szCs w:val="24"/>
              </w:rPr>
              <w:t>级风险）是指《质检总局关于推广京津冀沪进境生物材料监管试点经验及开展新一轮试点的公告》（原质检总局</w:t>
            </w:r>
            <w:r>
              <w:rPr>
                <w:rFonts w:ascii="方正楷体_GBK" w:eastAsia="方正楷体_GBK" w:cs="Arial"/>
                <w:sz w:val="24"/>
                <w:szCs w:val="24"/>
              </w:rPr>
              <w:t>2017</w:t>
            </w:r>
            <w:r>
              <w:rPr>
                <w:rFonts w:ascii="方正楷体_GBK" w:eastAsia="方正楷体_GBK" w:cs="Arial" w:hint="eastAsia"/>
                <w:sz w:val="24"/>
                <w:szCs w:val="24"/>
              </w:rPr>
              <w:t>年第</w:t>
            </w:r>
            <w:r>
              <w:rPr>
                <w:rFonts w:ascii="方正楷体_GBK" w:eastAsia="方正楷体_GBK" w:cs="Arial"/>
                <w:sz w:val="24"/>
                <w:szCs w:val="24"/>
              </w:rPr>
              <w:t>94</w:t>
            </w:r>
            <w:r>
              <w:rPr>
                <w:rFonts w:ascii="方正楷体_GBK" w:eastAsia="方正楷体_GBK" w:cs="Arial" w:hint="eastAsia"/>
                <w:sz w:val="24"/>
                <w:szCs w:val="24"/>
              </w:rPr>
              <w:t>号）中所列</w:t>
            </w:r>
            <w:r>
              <w:rPr>
                <w:rFonts w:ascii="方正楷体_GBK" w:eastAsia="方正楷体_GBK" w:cs="Arial"/>
                <w:sz w:val="24"/>
                <w:szCs w:val="24"/>
              </w:rPr>
              <w:t>I</w:t>
            </w:r>
            <w:r>
              <w:rPr>
                <w:rFonts w:ascii="方正楷体_GBK" w:eastAsia="方正楷体_GBK" w:cs="Arial" w:hint="eastAsia"/>
                <w:sz w:val="24"/>
                <w:szCs w:val="24"/>
              </w:rPr>
              <w:t>、</w:t>
            </w:r>
            <w:r>
              <w:rPr>
                <w:rFonts w:ascii="方正楷体_GBK" w:eastAsia="方正楷体_GBK" w:cs="Arial"/>
                <w:sz w:val="24"/>
                <w:szCs w:val="24"/>
              </w:rPr>
              <w:t>II</w:t>
            </w:r>
            <w:r>
              <w:rPr>
                <w:rFonts w:ascii="方正楷体_GBK" w:eastAsia="方正楷体_GBK" w:cs="Arial" w:hint="eastAsia"/>
                <w:sz w:val="24"/>
                <w:szCs w:val="24"/>
              </w:rPr>
              <w:t>级风险的进境生物材料（</w:t>
            </w:r>
            <w:r>
              <w:rPr>
                <w:rFonts w:ascii="方正楷体_GBK" w:eastAsia="方正楷体_GBK" w:cs="Arial"/>
                <w:sz w:val="24"/>
                <w:szCs w:val="24"/>
              </w:rPr>
              <w:t>SPF</w:t>
            </w:r>
            <w:r>
              <w:rPr>
                <w:rFonts w:ascii="方正楷体_GBK" w:eastAsia="方正楷体_GBK" w:cs="Arial" w:hint="eastAsia"/>
                <w:sz w:val="24"/>
                <w:szCs w:val="24"/>
              </w:rPr>
              <w:t>级及以上级别实验动物及其精液、胚胎、卵细胞等遗传物质除外）。</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进境生物材料（</w:t>
            </w:r>
            <w:r>
              <w:rPr>
                <w:rFonts w:ascii="Times New Roman" w:eastAsia="方正仿宋_GBK" w:hAnsi="Times New Roman"/>
                <w:color w:val="000000"/>
                <w:sz w:val="28"/>
                <w:szCs w:val="28"/>
              </w:rPr>
              <w:t>I</w:t>
            </w:r>
            <w:r>
              <w:rPr>
                <w:rFonts w:ascii="Times New Roman" w:eastAsia="方正仿宋_GBK" w:cs="方正仿宋_GBK" w:hAnsi="Times New Roman" w:hint="eastAsia"/>
                <w:color w:val="000000"/>
                <w:sz w:val="28"/>
                <w:szCs w:val="28"/>
              </w:rPr>
              <w:t>、</w:t>
            </w:r>
            <w:r>
              <w:rPr>
                <w:rFonts w:ascii="Times New Roman" w:eastAsia="方正仿宋_GBK" w:hAnsi="Times New Roman"/>
                <w:color w:val="000000"/>
                <w:sz w:val="28"/>
                <w:szCs w:val="28"/>
              </w:rPr>
              <w:t>II</w:t>
            </w:r>
            <w:r>
              <w:rPr>
                <w:rFonts w:ascii="Times New Roman" w:eastAsia="方正仿宋_GBK" w:cs="方正仿宋_GBK" w:hAnsi="Times New Roman" w:hint="eastAsia"/>
                <w:color w:val="000000"/>
                <w:sz w:val="28"/>
                <w:szCs w:val="28"/>
              </w:rPr>
              <w:t>级风险）是否单独存放</w:t>
            </w:r>
            <w:r>
              <w:rPr>
                <w:rFonts w:ascii="Times New Roman" w:eastAsia="方正仿宋_GBK" w:hAnsi="Times New Roman" w:hint="eastAsia"/>
                <w:sz w:val="28"/>
                <w:szCs w:val="28"/>
              </w:rPr>
              <w:t>：</w:t>
            </w:r>
          </w:p>
          <w:p>
            <w:pPr>
              <w:pStyle w:val="115"/>
              <w:spacing w:line="480" w:lineRule="exact"/>
              <w:ind w:firstLineChars="200" w:firstLine="480"/>
              <w:rPr>
                <w:rFonts w:ascii="方正楷体_GBK" w:eastAsia="方正楷体_GBK"/>
                <w:sz w:val="24"/>
              </w:rPr>
            </w:pPr>
            <w:r>
              <w:rPr>
                <w:rFonts w:ascii="方正楷体_GBK" w:eastAsia="方正楷体_GBK" w:hint="eastAsia"/>
                <w:sz w:val="24"/>
              </w:rPr>
              <w:t>（说明：若勾选“否”，应对不符合情况进行描述。）</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进境生物材料（</w:t>
            </w:r>
            <w:r>
              <w:rPr>
                <w:rFonts w:ascii="Times New Roman" w:eastAsia="方正仿宋_GBK" w:hAnsi="Times New Roman"/>
                <w:color w:val="000000"/>
                <w:sz w:val="28"/>
                <w:szCs w:val="28"/>
              </w:rPr>
              <w:t>I</w:t>
            </w:r>
            <w:r>
              <w:rPr>
                <w:rFonts w:ascii="Times New Roman" w:eastAsia="方正仿宋_GBK" w:cs="方正仿宋_GBK" w:hAnsi="Times New Roman" w:hint="eastAsia"/>
                <w:color w:val="000000"/>
                <w:sz w:val="28"/>
                <w:szCs w:val="28"/>
              </w:rPr>
              <w:t>、</w:t>
            </w:r>
            <w:r>
              <w:rPr>
                <w:rFonts w:ascii="Times New Roman" w:eastAsia="方正仿宋_GBK" w:hAnsi="Times New Roman"/>
                <w:color w:val="000000"/>
                <w:sz w:val="28"/>
                <w:szCs w:val="28"/>
              </w:rPr>
              <w:t>II</w:t>
            </w:r>
            <w:r>
              <w:rPr>
                <w:rFonts w:ascii="Times New Roman" w:eastAsia="方正仿宋_GBK" w:cs="方正仿宋_GBK" w:hAnsi="Times New Roman" w:hint="eastAsia"/>
                <w:color w:val="000000"/>
                <w:sz w:val="28"/>
                <w:szCs w:val="28"/>
              </w:rPr>
              <w:t>级风险）是否专人保管</w:t>
            </w:r>
            <w:r>
              <w:rPr>
                <w:rFonts w:ascii="Times New Roman" w:eastAsia="方正仿宋_GBK" w:hAnsi="Times New Roman" w:hint="eastAsia"/>
                <w:sz w:val="28"/>
                <w:szCs w:val="28"/>
              </w:rPr>
              <w:t>：</w:t>
            </w:r>
          </w:p>
          <w:p>
            <w:pPr>
              <w:pStyle w:val="115"/>
              <w:spacing w:line="480" w:lineRule="exact"/>
              <w:ind w:firstLineChars="200" w:firstLine="480"/>
              <w:rPr>
                <w:rFonts w:ascii="方正楷体_GBK" w:eastAsia="方正楷体_GBK"/>
                <w:sz w:val="24"/>
              </w:rPr>
            </w:pPr>
            <w:r>
              <w:rPr>
                <w:rFonts w:ascii="方正楷体_GBK" w:eastAsia="方正楷体_GBK" w:hint="eastAsia"/>
                <w:sz w:val="24"/>
              </w:rPr>
              <w:t>（说明：若勾选“否”，应对不符合情况进行描述。）</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6</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进境生物材料（</w:t>
            </w:r>
            <w:r>
              <w:rPr>
                <w:rFonts w:ascii="Times New Roman" w:eastAsia="方正仿宋_GBK" w:hAnsi="Times New Roman"/>
                <w:color w:val="000000"/>
                <w:sz w:val="28"/>
                <w:szCs w:val="28"/>
              </w:rPr>
              <w:t>I</w:t>
            </w:r>
            <w:r>
              <w:rPr>
                <w:rFonts w:ascii="Times New Roman" w:eastAsia="方正仿宋_GBK" w:cs="方正仿宋_GBK" w:hAnsi="Times New Roman" w:hint="eastAsia"/>
                <w:color w:val="000000"/>
                <w:sz w:val="28"/>
                <w:szCs w:val="28"/>
              </w:rPr>
              <w:t>、</w:t>
            </w:r>
            <w:r>
              <w:rPr>
                <w:rFonts w:ascii="Times New Roman" w:eastAsia="方正仿宋_GBK" w:hAnsi="Times New Roman"/>
                <w:color w:val="000000"/>
                <w:sz w:val="28"/>
                <w:szCs w:val="28"/>
              </w:rPr>
              <w:t>II</w:t>
            </w:r>
            <w:r>
              <w:rPr>
                <w:rFonts w:ascii="Times New Roman" w:eastAsia="方正仿宋_GBK" w:cs="方正仿宋_GBK" w:hAnsi="Times New Roman" w:hint="eastAsia"/>
                <w:color w:val="000000"/>
                <w:sz w:val="28"/>
                <w:szCs w:val="28"/>
              </w:rPr>
              <w:t>级风险）的领用、实验、废弃物销毁是否记录完整，并符合相关制度。</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cs="方正仿宋_GBK" w:hint="eastAsia"/>
                <w:sz w:val="24"/>
                <w:szCs w:val="24"/>
              </w:rPr>
              <w:t>进境生物材料（</w:t>
            </w:r>
            <w:r>
              <w:rPr>
                <w:rFonts w:ascii="方正楷体_GBK" w:eastAsia="方正楷体_GBK" w:cs="方正仿宋_GBK"/>
                <w:sz w:val="24"/>
                <w:szCs w:val="24"/>
              </w:rPr>
              <w:t>I</w:t>
            </w:r>
            <w:r>
              <w:rPr>
                <w:rFonts w:ascii="方正楷体_GBK" w:eastAsia="方正楷体_GBK" w:cs="方正仿宋_GBK" w:hint="eastAsia"/>
                <w:sz w:val="24"/>
                <w:szCs w:val="24"/>
              </w:rPr>
              <w:t>、</w:t>
            </w:r>
            <w:r>
              <w:rPr>
                <w:rFonts w:ascii="方正楷体_GBK" w:eastAsia="方正楷体_GBK" w:cs="方正仿宋_GBK"/>
                <w:sz w:val="24"/>
                <w:szCs w:val="24"/>
              </w:rPr>
              <w:t>II</w:t>
            </w:r>
            <w:r>
              <w:rPr>
                <w:rFonts w:ascii="方正楷体_GBK" w:eastAsia="方正楷体_GBK" w:cs="方正仿宋_GBK" w:hint="eastAsia"/>
                <w:sz w:val="24"/>
                <w:szCs w:val="24"/>
              </w:rPr>
              <w:t>级风险）的领用、实验、废弃物销毁应满足相关使用、管理制度要求。</w:t>
            </w:r>
            <w:r>
              <w:rPr>
                <w:rFonts w:ascii="方正楷体_GBK" w:eastAsia="方正楷体_GBK" w:hint="eastAsia"/>
                <w:sz w:val="24"/>
                <w:szCs w:val="24"/>
              </w:rPr>
              <w:t>自查</w:t>
            </w:r>
            <w:r>
              <w:rPr>
                <w:rFonts w:ascii="方正楷体_GBK" w:eastAsia="方正楷体_GBK" w:cs="方正仿宋_GBK" w:hint="eastAsia"/>
                <w:sz w:val="24"/>
                <w:szCs w:val="24"/>
              </w:rPr>
              <w:t>进境生物材料（</w:t>
            </w:r>
            <w:r>
              <w:rPr>
                <w:rFonts w:ascii="方正楷体_GBK" w:eastAsia="方正楷体_GBK" w:cs="方正仿宋_GBK"/>
                <w:sz w:val="24"/>
                <w:szCs w:val="24"/>
              </w:rPr>
              <w:t>I</w:t>
            </w:r>
            <w:r>
              <w:rPr>
                <w:rFonts w:ascii="方正楷体_GBK" w:eastAsia="方正楷体_GBK" w:cs="方正仿宋_GBK" w:hint="eastAsia"/>
                <w:sz w:val="24"/>
                <w:szCs w:val="24"/>
              </w:rPr>
              <w:t>、</w:t>
            </w:r>
            <w:r>
              <w:rPr>
                <w:rFonts w:ascii="方正楷体_GBK" w:eastAsia="方正楷体_GBK" w:cs="方正仿宋_GBK"/>
                <w:sz w:val="24"/>
                <w:szCs w:val="24"/>
              </w:rPr>
              <w:t>II</w:t>
            </w:r>
            <w:r>
              <w:rPr>
                <w:rFonts w:ascii="方正楷体_GBK" w:eastAsia="方正楷体_GBK" w:cs="方正仿宋_GBK" w:hint="eastAsia"/>
                <w:sz w:val="24"/>
                <w:szCs w:val="24"/>
              </w:rPr>
              <w:t>级风险）的领用、实验、废弃物销毁等工作记录。</w:t>
            </w:r>
            <w:r>
              <w:rPr>
                <w:rFonts w:ascii="方正楷体_GBK" w:eastAsia="方正楷体_GBK" w:hint="eastAsia"/>
                <w:sz w:val="24"/>
                <w:szCs w:val="24"/>
              </w:rPr>
              <w:t>该项自查内容中任何一项不符合的，应勾选“否”，并注明具体不符合内容。）</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ascii="Times New Roman" w:eastAsia="方正仿宋_GBK" w:cs="方正仿宋_GBK" w:hAnsi="Times New Roman" w:hint="eastAsia"/>
                <w:color w:val="000000"/>
                <w:sz w:val="28"/>
                <w:szCs w:val="28"/>
              </w:rPr>
              <w:t>进境生物材料（</w:t>
            </w:r>
            <w:r>
              <w:rPr>
                <w:rFonts w:ascii="Times New Roman" w:eastAsia="方正仿宋_GBK" w:hAnsi="Times New Roman"/>
                <w:color w:val="000000"/>
                <w:sz w:val="28"/>
                <w:szCs w:val="28"/>
              </w:rPr>
              <w:t>I</w:t>
            </w:r>
            <w:r>
              <w:rPr>
                <w:rFonts w:ascii="Times New Roman" w:eastAsia="方正仿宋_GBK" w:cs="方正仿宋_GBK" w:hAnsi="Times New Roman" w:hint="eastAsia"/>
                <w:color w:val="000000"/>
                <w:sz w:val="28"/>
                <w:szCs w:val="28"/>
              </w:rPr>
              <w:t>、</w:t>
            </w:r>
            <w:r>
              <w:rPr>
                <w:rFonts w:ascii="Times New Roman" w:eastAsia="方正仿宋_GBK" w:hAnsi="Times New Roman"/>
                <w:color w:val="000000"/>
                <w:sz w:val="28"/>
                <w:szCs w:val="28"/>
              </w:rPr>
              <w:t>II</w:t>
            </w:r>
            <w:r>
              <w:rPr>
                <w:rFonts w:ascii="Times New Roman" w:eastAsia="方正仿宋_GBK" w:cs="方正仿宋_GBK" w:hAnsi="Times New Roman" w:hint="eastAsia"/>
                <w:color w:val="000000"/>
                <w:sz w:val="28"/>
                <w:szCs w:val="28"/>
              </w:rPr>
              <w:t>级风险）库存、账目、销售、流向是否完整、对应</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cs="方正仿宋_GBK" w:hint="eastAsia"/>
                <w:sz w:val="24"/>
                <w:szCs w:val="24"/>
              </w:rPr>
              <w:t>进境生物材料（</w:t>
            </w:r>
            <w:r>
              <w:rPr>
                <w:rFonts w:ascii="方正楷体_GBK" w:eastAsia="方正楷体_GBK" w:cs="方正仿宋_GBK"/>
                <w:sz w:val="24"/>
                <w:szCs w:val="24"/>
              </w:rPr>
              <w:t>I</w:t>
            </w:r>
            <w:r>
              <w:rPr>
                <w:rFonts w:ascii="方正楷体_GBK" w:eastAsia="方正楷体_GBK" w:cs="方正仿宋_GBK" w:hint="eastAsia"/>
                <w:sz w:val="24"/>
                <w:szCs w:val="24"/>
              </w:rPr>
              <w:t>、</w:t>
            </w:r>
            <w:r>
              <w:rPr>
                <w:rFonts w:ascii="方正楷体_GBK" w:eastAsia="方正楷体_GBK" w:cs="方正仿宋_GBK"/>
                <w:sz w:val="24"/>
                <w:szCs w:val="24"/>
              </w:rPr>
              <w:t>II</w:t>
            </w:r>
            <w:r>
              <w:rPr>
                <w:rFonts w:ascii="方正楷体_GBK" w:eastAsia="方正楷体_GBK" w:cs="方正仿宋_GBK" w:hint="eastAsia"/>
                <w:sz w:val="24"/>
                <w:szCs w:val="24"/>
              </w:rPr>
              <w:t>级风险）为</w:t>
            </w:r>
            <w:r>
              <w:rPr>
                <w:rFonts w:ascii="方正楷体_GBK" w:eastAsia="方正楷体_GBK"/>
                <w:sz w:val="24"/>
                <w:szCs w:val="24"/>
              </w:rPr>
              <w:t>一次性使用的，应勾选</w:t>
            </w:r>
            <w:r>
              <w:rPr>
                <w:rFonts w:ascii="方正楷体_GBK" w:eastAsia="方正楷体_GBK" w:hint="eastAsia"/>
                <w:sz w:val="24"/>
                <w:szCs w:val="24"/>
              </w:rPr>
              <w:t>“不适用”。）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w:t>
            </w:r>
            <w:r>
              <w:rPr>
                <w:rFonts w:ascii="Times New Roman" w:eastAsia="方正仿宋_GBK" w:cs="方正仿宋_GBK" w:hAnsi="Times New Roman" w:hint="eastAsia"/>
                <w:color w:val="000000"/>
                <w:sz w:val="28"/>
                <w:szCs w:val="28"/>
              </w:rPr>
              <w:t>是否</w:t>
            </w:r>
            <w:r>
              <w:rPr>
                <w:rFonts w:ascii="Times New Roman" w:eastAsia="方正仿宋_GBK" w:cs="方正仿宋_GBK" w:hAnsi="Times New Roman"/>
                <w:color w:val="000000"/>
                <w:sz w:val="28"/>
                <w:szCs w:val="28"/>
              </w:rPr>
              <w:t>存在</w:t>
            </w:r>
            <w:r>
              <w:rPr>
                <w:rFonts w:ascii="Times New Roman" w:eastAsia="方正仿宋_GBK" w:cs="方正仿宋_GBK" w:hAnsi="Times New Roman" w:hint="eastAsia"/>
                <w:color w:val="000000"/>
                <w:sz w:val="28"/>
                <w:szCs w:val="28"/>
              </w:rPr>
              <w:t>未经海关允许，将进境生物材料（</w:t>
            </w:r>
            <w:r>
              <w:rPr>
                <w:rFonts w:ascii="Times New Roman" w:eastAsia="方正仿宋_GBK" w:hAnsi="Times New Roman"/>
                <w:color w:val="000000"/>
                <w:sz w:val="28"/>
                <w:szCs w:val="28"/>
              </w:rPr>
              <w:t>I</w:t>
            </w:r>
            <w:r>
              <w:rPr>
                <w:rFonts w:ascii="Times New Roman" w:eastAsia="方正仿宋_GBK" w:cs="方正仿宋_GBK" w:hAnsi="Times New Roman" w:hint="eastAsia"/>
                <w:color w:val="000000"/>
                <w:sz w:val="28"/>
                <w:szCs w:val="28"/>
              </w:rPr>
              <w:t>、</w:t>
            </w:r>
            <w:r>
              <w:rPr>
                <w:rFonts w:ascii="Times New Roman" w:eastAsia="方正仿宋_GBK" w:hAnsi="Times New Roman"/>
                <w:color w:val="000000"/>
                <w:sz w:val="28"/>
                <w:szCs w:val="28"/>
              </w:rPr>
              <w:t>II</w:t>
            </w:r>
            <w:r>
              <w:rPr>
                <w:rFonts w:ascii="Times New Roman" w:eastAsia="方正仿宋_GBK" w:cs="方正仿宋_GBK" w:hAnsi="Times New Roman" w:hint="eastAsia"/>
                <w:color w:val="000000"/>
                <w:sz w:val="28"/>
                <w:szCs w:val="28"/>
              </w:rPr>
              <w:t>级风险）移出使用单位的情况</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（说明：若勾选“否”，应对相关情况进行描述。）</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5"/>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6"/>
              <w:spacing w:line="480" w:lineRule="exact"/>
              <w:ind w:firstLineChars="200" w:firstLine="560"/>
              <w:rPr>
                <w:rFonts w:ascii="Times New Roman" w:eastAsia="方正仿宋_GBK" w:hAnsi="Times New Roman"/>
                <w:sz w:val="28"/>
              </w:rPr>
            </w:pPr>
          </w:p>
          <w:p>
            <w:pPr>
              <w:pStyle w:val="86"/>
              <w:spacing w:line="480" w:lineRule="exact"/>
              <w:ind w:firstLineChars="200" w:firstLine="560"/>
              <w:jc w:val="left"/>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86"/>
              <w:spacing w:line="480" w:lineRule="exact"/>
              <w:jc w:val="left"/>
              <w:rPr>
                <w:rFonts w:ascii="Times New Roman" w:eastAsia="方正仿宋_GBK" w:hAnsi="Times New Roman"/>
                <w:sz w:val="28"/>
              </w:rPr>
            </w:pPr>
          </w:p>
          <w:p>
            <w:pPr>
              <w:pStyle w:val="86"/>
              <w:spacing w:line="480" w:lineRule="exact"/>
              <w:jc w:val="left"/>
              <w:rPr>
                <w:rFonts w:ascii="Times New Roman" w:eastAsia="方正仿宋_GBK" w:hAnsi="Times New Roman"/>
                <w:sz w:val="28"/>
              </w:rPr>
            </w:pPr>
          </w:p>
          <w:p>
            <w:pPr>
              <w:pStyle w:val="86"/>
              <w:spacing w:line="480" w:lineRule="exact"/>
              <w:jc w:val="left"/>
              <w:rPr>
                <w:rFonts w:ascii="Times New Roman" w:eastAsia="方正仿宋_GBK" w:hAnsi="Times New Roman"/>
                <w:sz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center"/>
              <w:rPr>
                <w:rFonts w:ascii="Times New Roman" w:eastAsia="方正仿宋_GBK" w:hAnsi="Times New Roman" w:hint="eastAsia"/>
                <w:sz w:val="28"/>
                <w:szCs w:val="28"/>
                <w:lang w:eastAsia="zh-CN"/>
              </w:rPr>
            </w:pPr>
            <w:r>
              <w:rPr>
                <w:rFonts w:ascii="Times New Roman" w:eastAsia="方正仿宋_GBK" w:hAnsi="Times New Roman"/>
                <w:sz w:val="28"/>
                <w:szCs w:val="28"/>
                <w:lang w:eastAsia="zh-CN"/>
              </w:rPr>
              <w:t xml:space="preserve">                                          </w:t>
            </w:r>
            <w:r>
              <w:rPr>
                <w:rFonts w:ascii="Times New Roman" w:eastAsia="方正仿宋_GBK" w:hAnsi="Times New Roman" w:hint="eastAsia"/>
                <w:sz w:val="28"/>
                <w:szCs w:val="28"/>
                <w:lang w:eastAsia="zh-CN"/>
              </w:rPr>
              <w:t>（</w:t>
            </w:r>
            <w:r>
              <w:rPr>
                <w:rFonts w:ascii="Times New Roman" w:eastAsia="方正仿宋_GBK" w:hAnsi="Times New Roman" w:hint="eastAsia"/>
                <w:sz w:val="28"/>
                <w:szCs w:val="28"/>
                <w:lang w:val="en-US" w:eastAsia="zh-CN"/>
              </w:rPr>
              <w:t>公章</w:t>
            </w:r>
            <w:r>
              <w:rPr>
                <w:rFonts w:ascii="Times New Roman" w:eastAsia="方正仿宋_GBK" w:hAnsi="Times New Roman" w:hint="eastAsia"/>
                <w:sz w:val="28"/>
                <w:szCs w:val="28"/>
                <w:lang w:eastAsia="zh-CN"/>
              </w:rPr>
              <w:t>）</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895"/>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altName w:val="微软雅黑"/>
    <w:panose1 w:val="00000000000000000000"/>
    <w:charset w:val="86"/>
    <w:family w:val="script"/>
    <w:pitch w:val="variable"/>
    <w:sig w:usb0="00000000" w:usb1="00000000" w:usb2="00000010" w:usb3="00000000" w:csb0="00040000" w:csb1="00000000"/>
  </w:font>
  <w:font w:name="方正楷体_GBK">
    <w:altName w:val="微软雅黑"/>
    <w:panose1 w:val="00000000000000000000"/>
    <w:charset w:val="86"/>
    <w:family w:val="script"/>
    <w:pitch w:val="variable"/>
    <w:sig w:usb0="00000000" w:usb1="00000000" w:usb2="00000010" w:usb3="00000000" w:csb0="00040000" w:csb1="00000000"/>
  </w:font>
  <w:font w:name="方正仿宋_GBK">
    <w:altName w:val="微软雅黑"/>
    <w:panose1 w:val="00000000000000000000"/>
    <w:charset w:val="86"/>
    <w:family w:val="script"/>
    <w:pitch w:val="variable"/>
    <w:sig w:usb0="00000000" w:usb1="00000000" w:usb2="00000010" w:usb3="00000000" w:csb0="00040000" w:csb1="00000000"/>
  </w:font>
  <w:font w:name="方正黑体_GBK">
    <w:altName w:val="微软雅黑"/>
    <w:panose1 w:val="00000000000000000000"/>
    <w:charset w:val="86"/>
    <w:family w:val="script"/>
    <w:pitch w:val="variable"/>
    <w:sig w:usb0="00000000" w:usb1="00000000" w:usb2="00000010" w:usb3="00000000" w:csb0="00040000" w:csb1="00000000"/>
  </w:font>
  <w:font w:name="Arial">
    <w:panose1 w:val="020B0604020202020204"/>
    <w:charset w:val="01"/>
    <w:family w:val="swiss"/>
    <w:pitch w:val="variable"/>
    <w:sig w:usb0="E0002EFF" w:usb1="C000785B" w:usb2="00000009" w:usb3="00000000" w:csb0="400001FF" w:csb1="FFFF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0002EFF" w:usb1="C000247B" w:usb2="00000009" w:usb3="00000000" w:csb0="200001FF" w:csb1="00000000"/>
  </w:font>
  <w:font w:name="方正仿宋简体">
    <w:altName w:val="宋体"/>
    <w:panose1 w:val="00000000000000000000"/>
    <w:charset w:val="00"/>
    <w:family w:val="auto"/>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YWJmYTc3YWQxMGY3NjJjNTJmYzEyOWZiMzE5NThi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next w:val="2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
    <w:name w:val="样式 4 10 磅"/>
    <w:pPr>
      <w:widowControl w:val="0"/>
      <w:jc w:val="both"/>
    </w:pPr>
    <w:rPr>
      <w:rFonts w:ascii="Calibri" w:eastAsia="宋体" w:cs="Arial" w:hAnsi="Calibri"/>
      <w:kern w:val="2"/>
      <w:sz w:val="21"/>
      <w:szCs w:val="22"/>
      <w:lang w:val="en-US" w:eastAsia="zh-CN" w:bidi="ar-SA"/>
    </w:rPr>
  </w:style>
  <w:style w:type="paragraph" w:customStyle="1" w:styleId="22">
    <w:name w:val="样式 3 10 磅"/>
    <w:next w:val="2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pPr>
      <w:widowControl w:val="0"/>
      <w:jc w:val="both"/>
    </w:pPr>
    <w:rPr>
      <w:rFonts w:ascii="Calibri" w:eastAsia="宋体" w:cs="Arial" w:hAnsi="Calibri"/>
      <w:kern w:val="2"/>
      <w:sz w:val="21"/>
      <w:szCs w:val="22"/>
      <w:lang w:val="en-US" w:eastAsia="zh-CN" w:bidi="ar-SA"/>
    </w:rPr>
  </w:style>
  <w:style w:type="paragraph" w:customStyle="1" w:styleId="79">
    <w:name w:val="样式 60 10 磅"/>
    <w:pPr>
      <w:widowControl w:val="0"/>
      <w:jc w:val="both"/>
    </w:pPr>
    <w:rPr>
      <w:rFonts w:ascii="Calibri" w:eastAsia="宋体" w:cs="Arial" w:hAnsi="Calibri"/>
      <w:kern w:val="2"/>
      <w:sz w:val="21"/>
      <w:szCs w:val="22"/>
      <w:lang w:val="en-US" w:eastAsia="zh-CN" w:bidi="ar-SA"/>
    </w:rPr>
  </w:style>
  <w:style w:type="paragraph" w:customStyle="1" w:styleId="80">
    <w:name w:val="样式 61 10 磅"/>
    <w:pPr>
      <w:widowControl w:val="0"/>
      <w:jc w:val="both"/>
    </w:pPr>
    <w:rPr>
      <w:rFonts w:ascii="Calibri" w:eastAsia="宋体" w:cs="Arial" w:hAnsi="Calibri"/>
      <w:kern w:val="2"/>
      <w:sz w:val="21"/>
      <w:szCs w:val="22"/>
      <w:lang w:val="en-US" w:eastAsia="zh-CN" w:bidi="ar-SA"/>
    </w:rPr>
  </w:style>
  <w:style w:type="paragraph" w:customStyle="1" w:styleId="81">
    <w:name w:val="样式 62 10 磅"/>
    <w:pPr>
      <w:widowControl w:val="0"/>
      <w:jc w:val="both"/>
    </w:pPr>
    <w:rPr>
      <w:rFonts w:ascii="Calibri" w:eastAsia="宋体" w:cs="Arial" w:hAnsi="Calibri"/>
      <w:kern w:val="2"/>
      <w:sz w:val="21"/>
      <w:szCs w:val="22"/>
      <w:lang w:val="en-US" w:eastAsia="zh-CN" w:bidi="ar-SA"/>
    </w:rPr>
  </w:style>
  <w:style w:type="paragraph" w:customStyle="1" w:styleId="82">
    <w:name w:val="样式 63 10 磅"/>
    <w:pPr>
      <w:widowControl w:val="0"/>
      <w:jc w:val="both"/>
    </w:pPr>
    <w:rPr>
      <w:rFonts w:ascii="Calibri" w:eastAsia="宋体" w:cs="Arial" w:hAnsi="Calibri"/>
      <w:kern w:val="2"/>
      <w:sz w:val="21"/>
      <w:szCs w:val="22"/>
      <w:lang w:val="en-US" w:eastAsia="zh-CN" w:bidi="ar-SA"/>
    </w:rPr>
  </w:style>
  <w:style w:type="paragraph" w:customStyle="1" w:styleId="83">
    <w:name w:val="样式 64 10 磅"/>
    <w:pPr>
      <w:widowControl w:val="0"/>
      <w:jc w:val="both"/>
    </w:pPr>
    <w:rPr>
      <w:rFonts w:ascii="Calibri" w:eastAsia="宋体" w:cs="Arial" w:hAnsi="Calibri"/>
      <w:kern w:val="2"/>
      <w:sz w:val="21"/>
      <w:szCs w:val="22"/>
      <w:lang w:val="en-US" w:eastAsia="zh-CN" w:bidi="ar-SA"/>
    </w:rPr>
  </w:style>
  <w:style w:type="paragraph" w:customStyle="1" w:styleId="84">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5">
    <w:name w:val="样式 66 10 磅"/>
    <w:pPr>
      <w:widowControl w:val="0"/>
      <w:jc w:val="both"/>
    </w:pPr>
    <w:rPr>
      <w:rFonts w:ascii="Calibri" w:eastAsia="宋体" w:cs="Arial" w:hAnsi="Calibri"/>
      <w:kern w:val="2"/>
      <w:sz w:val="21"/>
      <w:szCs w:val="22"/>
      <w:lang w:val="en-US" w:eastAsia="zh-CN" w:bidi="ar-SA"/>
    </w:rPr>
  </w:style>
  <w:style w:type="paragraph" w:customStyle="1" w:styleId="86">
    <w:name w:val="样式 67 10 磅"/>
    <w:pPr>
      <w:widowControl w:val="0"/>
      <w:jc w:val="both"/>
    </w:pPr>
    <w:rPr>
      <w:rFonts w:ascii="Calibri" w:eastAsia="宋体" w:cs="Arial" w:hAnsi="Calibri"/>
      <w:kern w:val="2"/>
      <w:sz w:val="21"/>
      <w:szCs w:val="22"/>
      <w:lang w:val="en-US" w:eastAsia="zh-CN" w:bidi="ar-SA"/>
    </w:rPr>
  </w:style>
  <w:style w:type="paragraph" w:customStyle="1" w:styleId="87">
    <w:name w:val="样式 68 10 磅"/>
    <w:pPr>
      <w:widowControl w:val="0"/>
      <w:jc w:val="both"/>
    </w:pPr>
    <w:rPr>
      <w:rFonts w:ascii="Calibri" w:eastAsia="宋体" w:cs="Arial" w:hAnsi="Calibri"/>
      <w:kern w:val="2"/>
      <w:sz w:val="21"/>
      <w:szCs w:val="22"/>
      <w:lang w:val="en-US" w:eastAsia="zh-CN" w:bidi="ar-SA"/>
    </w:rPr>
  </w:style>
  <w:style w:type="paragraph" w:customStyle="1" w:styleId="88">
    <w:name w:val="样式 69 10 磅"/>
    <w:pPr>
      <w:widowControl w:val="0"/>
      <w:jc w:val="both"/>
    </w:pPr>
    <w:rPr>
      <w:rFonts w:ascii="Calibri" w:eastAsia="宋体" w:cs="Arial" w:hAnsi="Calibri"/>
      <w:kern w:val="2"/>
      <w:sz w:val="21"/>
      <w:szCs w:val="22"/>
      <w:lang w:val="en-US" w:eastAsia="zh-CN" w:bidi="ar-SA"/>
    </w:rPr>
  </w:style>
  <w:style w:type="paragraph" w:customStyle="1" w:styleId="89">
    <w:name w:val="样式 70 10 磅"/>
    <w:pPr>
      <w:widowControl w:val="0"/>
      <w:jc w:val="both"/>
    </w:pPr>
    <w:rPr>
      <w:rFonts w:ascii="Calibri" w:eastAsia="宋体" w:cs="Arial" w:hAnsi="Calibri"/>
      <w:kern w:val="2"/>
      <w:sz w:val="21"/>
      <w:szCs w:val="22"/>
      <w:lang w:val="en-US" w:eastAsia="zh-CN" w:bidi="ar-SA"/>
    </w:rPr>
  </w:style>
  <w:style w:type="paragraph" w:customStyle="1" w:styleId="90">
    <w:name w:val="样式 71 10 磅"/>
    <w:pPr>
      <w:widowControl w:val="0"/>
      <w:jc w:val="both"/>
    </w:pPr>
    <w:rPr>
      <w:rFonts w:ascii="Calibri" w:eastAsia="宋体" w:cs="Arial" w:hAnsi="Calibri"/>
      <w:kern w:val="2"/>
      <w:sz w:val="21"/>
      <w:szCs w:val="22"/>
      <w:lang w:val="en-US" w:eastAsia="zh-CN" w:bidi="ar-SA"/>
    </w:rPr>
  </w:style>
  <w:style w:type="paragraph" w:customStyle="1" w:styleId="91">
    <w:name w:val="样式 7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2">
    <w:name w:val="样式 7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3">
    <w:name w:val="样式 7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4">
    <w:name w:val="样式 三号"/>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95">
    <w:name w:val="样式 76 10 磅"/>
    <w:pPr>
      <w:widowControl w:val="0"/>
      <w:jc w:val="both"/>
    </w:pPr>
    <w:rPr>
      <w:rFonts w:ascii="Times New Roman" w:eastAsia="宋体" w:cs="Times New Roman" w:hAnsi="Times New Roman"/>
      <w:kern w:val="2"/>
      <w:sz w:val="21"/>
      <w:lang w:val="en-US" w:eastAsia="zh-CN" w:bidi="ar-SA"/>
    </w:rPr>
  </w:style>
  <w:style w:type="paragraph" w:customStyle="1" w:styleId="96">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97">
    <w:name w:val="样式 78 10 磅"/>
    <w:pPr>
      <w:widowControl w:val="0"/>
      <w:jc w:val="both"/>
    </w:pPr>
    <w:rPr>
      <w:rFonts w:ascii="Times New Roman" w:eastAsia="宋体" w:cs="Times New Roman" w:hAnsi="Times New Roman"/>
      <w:kern w:val="2"/>
      <w:sz w:val="21"/>
      <w:lang w:val="en-US" w:eastAsia="zh-CN" w:bidi="ar-SA"/>
    </w:rPr>
  </w:style>
  <w:style w:type="paragraph" w:customStyle="1" w:styleId="98">
    <w:name w:val="样式 7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9">
    <w:name w:val="样式 8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0">
    <w:name w:val="样式 8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1">
    <w:name w:val="样式 8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2">
    <w:name w:val="样式 8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3">
    <w:name w:val="样式 8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4">
    <w:name w:val="样式 8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5">
    <w:name w:val="正文40"/>
    <w:next w:val="0"/>
    <w:pPr>
      <w:widowControl w:val="0"/>
      <w:jc w:val="both"/>
    </w:pPr>
    <w:rPr>
      <w:rFonts w:ascii="Times New Roman" w:eastAsia="宋体" w:cs="Times New Roman" w:hAnsi="Times New Roman"/>
      <w:kern w:val="2"/>
      <w:sz w:val="21"/>
      <w:lang w:val="en-US" w:eastAsia="zh-CN" w:bidi="ar-SA"/>
    </w:rPr>
  </w:style>
  <w:style w:type="paragraph" w:customStyle="1" w:styleId="106">
    <w:name w:val="样式 86 10 磅"/>
    <w:pPr>
      <w:widowControl w:val="0"/>
      <w:jc w:val="both"/>
    </w:pPr>
    <w:rPr>
      <w:rFonts w:ascii="Times New Roman" w:eastAsia="宋体" w:cs="Times New Roman" w:hAnsi="Times New Roman"/>
      <w:kern w:val="2"/>
      <w:sz w:val="21"/>
      <w:lang w:val="en-US" w:eastAsia="zh-CN" w:bidi="ar-SA"/>
    </w:rPr>
  </w:style>
  <w:style w:type="paragraph" w:customStyle="1" w:styleId="107">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8">
    <w:name w:val="样式 88 10 磅"/>
    <w:pPr>
      <w:widowControl w:val="0"/>
      <w:jc w:val="both"/>
    </w:pPr>
    <w:rPr>
      <w:rFonts w:ascii="Times New Roman" w:eastAsia="宋体" w:cs="Times New Roman" w:hAnsi="Times New Roman"/>
      <w:kern w:val="2"/>
      <w:sz w:val="21"/>
      <w:lang w:val="en-US" w:eastAsia="zh-CN" w:bidi="ar-SA"/>
    </w:rPr>
  </w:style>
  <w:style w:type="paragraph" w:customStyle="1" w:styleId="109">
    <w:name w:val="样式 89 10 磅"/>
    <w:pPr>
      <w:widowControl w:val="0"/>
      <w:jc w:val="both"/>
    </w:pPr>
    <w:rPr>
      <w:rFonts w:ascii="Calibri" w:eastAsia="宋体" w:cs="Arial" w:hAnsi="Calibri"/>
      <w:kern w:val="2"/>
      <w:sz w:val="21"/>
      <w:szCs w:val="22"/>
      <w:lang w:val="en-US" w:eastAsia="zh-CN" w:bidi="ar-SA"/>
    </w:rPr>
  </w:style>
  <w:style w:type="paragraph" w:customStyle="1" w:styleId="110">
    <w:name w:val="样式 90 10 磅"/>
    <w:pPr>
      <w:widowControl w:val="0"/>
      <w:jc w:val="both"/>
    </w:pPr>
    <w:rPr>
      <w:rFonts w:ascii="Calibri" w:eastAsia="宋体" w:cs="Arial" w:hAnsi="Calibri"/>
      <w:kern w:val="2"/>
      <w:sz w:val="21"/>
      <w:szCs w:val="22"/>
      <w:lang w:val="en-US" w:eastAsia="zh-CN" w:bidi="ar-SA"/>
    </w:rPr>
  </w:style>
  <w:style w:type="paragraph" w:customStyle="1" w:styleId="111">
    <w:name w:val="样式 91 10 磅"/>
    <w:pPr>
      <w:widowControl w:val="0"/>
      <w:jc w:val="both"/>
    </w:pPr>
    <w:rPr>
      <w:rFonts w:ascii="Calibri" w:eastAsia="宋体" w:cs="Arial" w:hAnsi="Calibri"/>
      <w:kern w:val="2"/>
      <w:sz w:val="21"/>
      <w:szCs w:val="22"/>
      <w:lang w:val="en-US" w:eastAsia="zh-CN" w:bidi="ar-SA"/>
    </w:rPr>
  </w:style>
  <w:style w:type="paragraph" w:customStyle="1" w:styleId="112">
    <w:name w:val="样式 92 10 磅"/>
    <w:pPr>
      <w:widowControl w:val="0"/>
      <w:jc w:val="both"/>
    </w:pPr>
    <w:rPr>
      <w:rFonts w:ascii="Calibri" w:eastAsia="宋体" w:cs="Arial" w:hAnsi="Calibri"/>
      <w:kern w:val="2"/>
      <w:sz w:val="21"/>
      <w:szCs w:val="22"/>
      <w:lang w:val="en-US" w:eastAsia="zh-CN" w:bidi="ar-SA"/>
    </w:rPr>
  </w:style>
  <w:style w:type="paragraph" w:customStyle="1" w:styleId="113">
    <w:name w:val="样式 93 10 磅"/>
    <w:pPr>
      <w:widowControl w:val="0"/>
      <w:jc w:val="both"/>
    </w:pPr>
    <w:rPr>
      <w:rFonts w:ascii="Calibri" w:eastAsia="宋体" w:cs="Arial" w:hAnsi="Calibri"/>
      <w:kern w:val="2"/>
      <w:sz w:val="21"/>
      <w:szCs w:val="22"/>
      <w:lang w:val="en-US" w:eastAsia="zh-CN" w:bidi="ar-SA"/>
    </w:rPr>
  </w:style>
  <w:style w:type="paragraph" w:customStyle="1" w:styleId="114">
    <w:name w:val="样式 94 10 磅"/>
    <w:pPr>
      <w:widowControl w:val="0"/>
      <w:jc w:val="both"/>
    </w:pPr>
    <w:rPr>
      <w:rFonts w:ascii="Calibri" w:eastAsia="宋体" w:cs="Arial" w:hAnsi="Calibri"/>
      <w:kern w:val="2"/>
      <w:sz w:val="21"/>
      <w:szCs w:val="22"/>
      <w:lang w:val="en-US" w:eastAsia="zh-CN" w:bidi="ar-SA"/>
    </w:rPr>
  </w:style>
  <w:style w:type="paragraph" w:customStyle="1" w:styleId="115">
    <w:name w:val="样式 95 10 磅"/>
    <w:pPr>
      <w:widowControl w:val="0"/>
      <w:jc w:val="both"/>
    </w:pPr>
    <w:rPr>
      <w:rFonts w:ascii="Calibri" w:eastAsia="宋体" w:cs="Arial" w:hAnsi="Calibri"/>
      <w:kern w:val="2"/>
      <w:sz w:val="21"/>
      <w:szCs w:val="22"/>
      <w:lang w:val="en-US" w:eastAsia="zh-CN" w:bidi="ar-SA"/>
    </w:rPr>
  </w:style>
  <w:style w:type="paragraph" w:customStyle="1" w:styleId="116">
    <w:name w:val="样式 96 10 磅"/>
    <w:pPr>
      <w:widowControl w:val="0"/>
      <w:jc w:val="both"/>
    </w:pPr>
    <w:rPr>
      <w:rFonts w:ascii="Calibri" w:eastAsia="宋体" w:cs="Arial" w:hAnsi="Calibri"/>
      <w:kern w:val="2"/>
      <w:sz w:val="21"/>
      <w:szCs w:val="22"/>
      <w:lang w:val="en-US" w:eastAsia="zh-CN" w:bidi="ar-SA"/>
    </w:rPr>
  </w:style>
  <w:style w:type="paragraph" w:customStyle="1" w:styleId="117">
    <w:name w:val="样式 97 10 磅"/>
    <w:pPr>
      <w:widowControl w:val="0"/>
      <w:jc w:val="both"/>
    </w:pPr>
    <w:rPr>
      <w:rFonts w:ascii="Calibri" w:eastAsia="宋体" w:cs="Arial" w:hAnsi="Calibri"/>
      <w:kern w:val="2"/>
      <w:sz w:val="21"/>
      <w:szCs w:val="22"/>
      <w:lang w:val="en-US" w:eastAsia="zh-CN" w:bidi="ar-SA"/>
    </w:rPr>
  </w:style>
  <w:style w:type="paragraph" w:customStyle="1" w:styleId="118">
    <w:name w:val="样式 98 10 磅"/>
    <w:pPr>
      <w:widowControl w:val="0"/>
      <w:jc w:val="both"/>
    </w:pPr>
    <w:rPr>
      <w:rFonts w:ascii="Calibri" w:eastAsia="宋体" w:cs="Arial" w:hAnsi="Calibri"/>
      <w:kern w:val="2"/>
      <w:sz w:val="21"/>
      <w:szCs w:val="22"/>
      <w:lang w:val="en-US" w:eastAsia="zh-CN" w:bidi="ar-SA"/>
    </w:rPr>
  </w:style>
  <w:style w:type="paragraph" w:customStyle="1" w:styleId="119">
    <w:name w:val="样式 99 10 磅"/>
    <w:pPr>
      <w:widowControl w:val="0"/>
      <w:jc w:val="both"/>
    </w:pPr>
    <w:rPr>
      <w:rFonts w:ascii="Calibri" w:eastAsia="宋体" w:cs="Arial" w:hAnsi="Calibri"/>
      <w:kern w:val="2"/>
      <w:sz w:val="21"/>
      <w:szCs w:val="22"/>
      <w:lang w:val="en-US" w:eastAsia="zh-CN" w:bidi="ar-SA"/>
    </w:rPr>
  </w:style>
  <w:style w:type="paragraph" w:customStyle="1" w:styleId="120">
    <w:name w:val="样式 100 10 磅"/>
    <w:pPr>
      <w:widowControl w:val="0"/>
      <w:jc w:val="both"/>
    </w:pPr>
    <w:rPr>
      <w:rFonts w:ascii="Calibri" w:eastAsia="宋体" w:cs="Arial" w:hAnsi="Calibri"/>
      <w:kern w:val="2"/>
      <w:sz w:val="21"/>
      <w:szCs w:val="22"/>
      <w:lang w:val="en-US" w:eastAsia="zh-CN" w:bidi="ar-SA"/>
    </w:rPr>
  </w:style>
  <w:style w:type="paragraph" w:customStyle="1" w:styleId="121">
    <w:name w:val="样式 101 10 磅"/>
    <w:pPr>
      <w:widowControl w:val="0"/>
      <w:jc w:val="both"/>
    </w:pPr>
    <w:rPr>
      <w:rFonts w:ascii="Calibri" w:eastAsia="宋体" w:cs="Arial" w:hAnsi="Calibri"/>
      <w:kern w:val="2"/>
      <w:sz w:val="21"/>
      <w:szCs w:val="22"/>
      <w:lang w:val="en-US" w:eastAsia="zh-CN" w:bidi="ar-SA"/>
    </w:rPr>
  </w:style>
  <w:style w:type="paragraph" w:customStyle="1" w:styleId="122">
    <w:name w:val="样式 102 10 磅"/>
    <w:pPr>
      <w:widowControl w:val="0"/>
      <w:jc w:val="both"/>
    </w:pPr>
    <w:rPr>
      <w:rFonts w:ascii="Calibri" w:eastAsia="宋体" w:cs="Arial" w:hAnsi="Calibri"/>
      <w:kern w:val="2"/>
      <w:sz w:val="21"/>
      <w:szCs w:val="22"/>
      <w:lang w:val="en-US" w:eastAsia="zh-CN" w:bidi="ar-SA"/>
    </w:rPr>
  </w:style>
  <w:style w:type="paragraph" w:customStyle="1" w:styleId="123">
    <w:name w:val="样式 103 10 磅"/>
    <w:pPr>
      <w:widowControl w:val="0"/>
      <w:jc w:val="both"/>
    </w:pPr>
    <w:rPr>
      <w:rFonts w:ascii="Calibri" w:eastAsia="宋体" w:cs="Arial" w:hAnsi="Calibri"/>
      <w:kern w:val="2"/>
      <w:sz w:val="21"/>
      <w:szCs w:val="22"/>
      <w:lang w:val="en-US" w:eastAsia="zh-CN" w:bidi="ar-SA"/>
    </w:rPr>
  </w:style>
  <w:style w:type="paragraph" w:customStyle="1" w:styleId="124">
    <w:name w:val="样式 104 10 磅"/>
    <w:pPr>
      <w:widowControl w:val="0"/>
      <w:jc w:val="both"/>
    </w:pPr>
    <w:rPr>
      <w:rFonts w:ascii="Calibri" w:eastAsia="宋体" w:cs="Arial" w:hAnsi="Calibri"/>
      <w:kern w:val="2"/>
      <w:sz w:val="21"/>
      <w:szCs w:val="22"/>
      <w:lang w:val="en-US" w:eastAsia="zh-CN" w:bidi="ar-SA"/>
    </w:rPr>
  </w:style>
  <w:style w:type="paragraph" w:customStyle="1" w:styleId="125">
    <w:name w:val="样式 105 10 磅"/>
    <w:pPr>
      <w:widowControl w:val="0"/>
      <w:jc w:val="both"/>
    </w:pPr>
    <w:rPr>
      <w:rFonts w:ascii="Calibri" w:eastAsia="宋体" w:cs="Arial" w:hAnsi="Calibri"/>
      <w:kern w:val="2"/>
      <w:sz w:val="21"/>
      <w:szCs w:val="22"/>
      <w:lang w:val="en-US" w:eastAsia="zh-CN" w:bidi="ar-SA"/>
    </w:rPr>
  </w:style>
  <w:style w:type="paragraph" w:customStyle="1" w:styleId="126">
    <w:name w:val="样式 106 10 磅"/>
    <w:pPr>
      <w:widowControl w:val="0"/>
      <w:jc w:val="both"/>
    </w:pPr>
    <w:rPr>
      <w:rFonts w:ascii="Calibri" w:eastAsia="宋体" w:cs="Arial" w:hAnsi="Calibri"/>
      <w:kern w:val="2"/>
      <w:sz w:val="21"/>
      <w:szCs w:val="22"/>
      <w:lang w:val="en-US" w:eastAsia="zh-CN" w:bidi="ar-SA"/>
    </w:rPr>
  </w:style>
  <w:style w:type="paragraph" w:customStyle="1" w:styleId="127">
    <w:name w:val="样式 107 10 磅"/>
    <w:pPr>
      <w:widowControl w:val="0"/>
      <w:jc w:val="both"/>
    </w:pPr>
    <w:rPr>
      <w:rFonts w:ascii="Calibri" w:eastAsia="宋体" w:cs="Arial" w:hAnsi="Calibri"/>
      <w:kern w:val="2"/>
      <w:sz w:val="21"/>
      <w:szCs w:val="22"/>
      <w:lang w:val="en-US" w:eastAsia="zh-CN" w:bidi="ar-SA"/>
    </w:rPr>
  </w:style>
  <w:style w:type="paragraph" w:customStyle="1" w:styleId="128">
    <w:name w:val="样式 108 10 磅"/>
    <w:pPr>
      <w:widowControl w:val="0"/>
      <w:jc w:val="both"/>
    </w:pPr>
    <w:rPr>
      <w:rFonts w:ascii="Calibri" w:eastAsia="宋体" w:cs="Arial" w:hAnsi="Calibri"/>
      <w:kern w:val="2"/>
      <w:sz w:val="21"/>
      <w:szCs w:val="22"/>
      <w:lang w:val="en-US" w:eastAsia="zh-CN" w:bidi="ar-SA"/>
    </w:rPr>
  </w:style>
  <w:style w:type="paragraph" w:customStyle="1" w:styleId="129">
    <w:name w:val="样式 109 10 磅"/>
    <w:pPr>
      <w:widowControl w:val="0"/>
      <w:jc w:val="both"/>
    </w:pPr>
    <w:rPr>
      <w:rFonts w:ascii="Calibri" w:eastAsia="宋体" w:cs="Arial" w:hAnsi="Calibri"/>
      <w:kern w:val="2"/>
      <w:sz w:val="21"/>
      <w:szCs w:val="22"/>
      <w:lang w:val="en-US" w:eastAsia="zh-CN" w:bidi="ar-SA"/>
    </w:rPr>
  </w:style>
  <w:style w:type="paragraph" w:customStyle="1" w:styleId="130">
    <w:name w:val="样式 110 10 磅"/>
    <w:pPr>
      <w:widowControl w:val="0"/>
      <w:jc w:val="both"/>
    </w:pPr>
    <w:rPr>
      <w:rFonts w:ascii="Calibri" w:eastAsia="宋体" w:cs="Arial" w:hAnsi="Calibri"/>
      <w:kern w:val="2"/>
      <w:sz w:val="21"/>
      <w:szCs w:val="22"/>
      <w:lang w:val="en-US" w:eastAsia="zh-CN" w:bidi="ar-SA"/>
    </w:rPr>
  </w:style>
  <w:style w:type="paragraph" w:customStyle="1" w:styleId="131">
    <w:name w:val="样式 111 10 磅"/>
    <w:pPr>
      <w:widowControl w:val="0"/>
      <w:jc w:val="both"/>
    </w:pPr>
    <w:rPr>
      <w:rFonts w:ascii="Calibri" w:eastAsia="宋体" w:cs="Arial" w:hAnsi="Calibri"/>
      <w:kern w:val="2"/>
      <w:sz w:val="21"/>
      <w:szCs w:val="22"/>
      <w:lang w:val="en-US" w:eastAsia="zh-CN" w:bidi="ar-SA"/>
    </w:rPr>
  </w:style>
  <w:style w:type="paragraph" w:customStyle="1" w:styleId="132">
    <w:name w:val="样式 112 10 磅"/>
    <w:pPr>
      <w:widowControl w:val="0"/>
      <w:jc w:val="both"/>
    </w:pPr>
    <w:rPr>
      <w:rFonts w:ascii="Calibri" w:eastAsia="宋体" w:cs="Arial" w:hAnsi="Calibri"/>
      <w:kern w:val="2"/>
      <w:sz w:val="21"/>
      <w:szCs w:val="22"/>
      <w:lang w:val="en-US" w:eastAsia="zh-CN" w:bidi="ar-SA"/>
    </w:rPr>
  </w:style>
  <w:style w:type="paragraph" w:customStyle="1" w:styleId="133">
    <w:name w:val="正文62"/>
    <w:pPr>
      <w:widowControl w:val="0"/>
      <w:jc w:val="both"/>
    </w:pPr>
    <w:rPr>
      <w:rFonts w:ascii="Calibri" w:eastAsia="方正黑体_GBK" w:cs="Times New Roman" w:hAnsi="Calibri"/>
      <w:kern w:val="2"/>
      <w:sz w:val="21"/>
      <w:szCs w:val="21"/>
      <w:lang w:val="en-US" w:eastAsia="zh-CN" w:bidi="ar-SA"/>
    </w:rPr>
  </w:style>
  <w:style w:type="paragraph" w:customStyle="1" w:styleId="134">
    <w:name w:val="样式 113 10 磅"/>
    <w:pPr>
      <w:widowControl w:val="0"/>
      <w:jc w:val="both"/>
    </w:pPr>
    <w:rPr>
      <w:rFonts w:ascii="Calibri" w:eastAsia="方正黑体_GBK" w:cs="Times New Roman" w:hAnsi="Calibri"/>
      <w:kern w:val="2"/>
      <w:sz w:val="21"/>
      <w:szCs w:val="21"/>
      <w:lang w:val="en-US" w:eastAsia="zh-CN" w:bidi="ar-SA"/>
    </w:rPr>
  </w:style>
  <w:style w:type="paragraph" w:customStyle="1" w:styleId="135">
    <w:name w:val="样式 114 10 磅"/>
    <w:pPr>
      <w:widowControl w:val="0"/>
      <w:jc w:val="both"/>
    </w:pPr>
    <w:rPr>
      <w:rFonts w:ascii="Calibri" w:eastAsia="方正黑体_GBK" w:cs="Times New Roman" w:hAnsi="Calibri"/>
      <w:kern w:val="2"/>
      <w:sz w:val="21"/>
      <w:szCs w:val="21"/>
      <w:lang w:val="en-US" w:eastAsia="zh-CN" w:bidi="ar-SA"/>
    </w:rPr>
  </w:style>
  <w:style w:type="paragraph" w:customStyle="1" w:styleId="136">
    <w:name w:val="样式 115 10 磅"/>
    <w:pPr>
      <w:widowControl w:val="0"/>
      <w:jc w:val="both"/>
    </w:pPr>
    <w:rPr>
      <w:rFonts w:ascii="Calibri" w:eastAsia="方正黑体_GBK" w:cs="Times New Roman" w:hAnsi="Calibri"/>
      <w:kern w:val="2"/>
      <w:sz w:val="21"/>
      <w:szCs w:val="21"/>
      <w:lang w:val="en-US" w:eastAsia="zh-CN" w:bidi="ar-SA"/>
    </w:rPr>
  </w:style>
  <w:style w:type="paragraph" w:customStyle="1" w:styleId="137">
    <w:name w:val="样式 116 10 磅"/>
    <w:pPr>
      <w:widowControl w:val="0"/>
      <w:jc w:val="both"/>
    </w:pPr>
    <w:rPr>
      <w:rFonts w:ascii="Calibri" w:eastAsia="方正黑体_GBK" w:cs="Times New Roman" w:hAnsi="Calibri"/>
      <w:kern w:val="2"/>
      <w:sz w:val="21"/>
      <w:szCs w:val="21"/>
      <w:lang w:val="en-US" w:eastAsia="zh-CN" w:bidi="ar-SA"/>
    </w:rPr>
  </w:style>
  <w:style w:type="paragraph" w:customStyle="1" w:styleId="138">
    <w:name w:val="样式 117 10 磅"/>
    <w:pPr>
      <w:widowControl w:val="0"/>
      <w:jc w:val="both"/>
    </w:pPr>
    <w:rPr>
      <w:rFonts w:ascii="Calibri" w:eastAsia="方正黑体_GBK" w:cs="Times New Roman" w:hAnsi="Calibri"/>
      <w:kern w:val="2"/>
      <w:sz w:val="21"/>
      <w:szCs w:val="21"/>
      <w:lang w:val="en-US" w:eastAsia="zh-CN" w:bidi="ar-SA"/>
    </w:rPr>
  </w:style>
  <w:style w:type="paragraph" w:customStyle="1" w:styleId="139">
    <w:name w:val="样式 118 10 磅"/>
    <w:pPr>
      <w:widowControl w:val="0"/>
      <w:jc w:val="both"/>
    </w:pPr>
    <w:rPr>
      <w:rFonts w:ascii="Calibri" w:eastAsia="方正黑体_GBK" w:cs="Times New Roman" w:hAnsi="Calibri"/>
      <w:kern w:val="2"/>
      <w:sz w:val="21"/>
      <w:szCs w:val="21"/>
      <w:lang w:val="en-US" w:eastAsia="zh-CN" w:bidi="ar-SA"/>
    </w:rPr>
  </w:style>
  <w:style w:type="paragraph" w:customStyle="1" w:styleId="140">
    <w:name w:val="样式 119 10 磅"/>
    <w:pPr>
      <w:widowControl w:val="0"/>
      <w:jc w:val="both"/>
    </w:pPr>
    <w:rPr>
      <w:rFonts w:ascii="Calibri" w:eastAsia="宋体" w:cs="Arial" w:hAnsi="Calibri"/>
      <w:kern w:val="2"/>
      <w:sz w:val="21"/>
      <w:szCs w:val="22"/>
      <w:lang w:val="en-US" w:eastAsia="zh-CN" w:bidi="ar-SA"/>
    </w:rPr>
  </w:style>
  <w:style w:type="paragraph" w:customStyle="1" w:styleId="141">
    <w:name w:val="样式 120 10 磅"/>
    <w:pPr>
      <w:widowControl w:val="0"/>
      <w:jc w:val="both"/>
    </w:pPr>
    <w:rPr>
      <w:rFonts w:ascii="Calibri" w:eastAsia="宋体" w:cs="Arial" w:hAnsi="Calibri"/>
      <w:kern w:val="2"/>
      <w:sz w:val="21"/>
      <w:szCs w:val="22"/>
      <w:lang w:val="en-US" w:eastAsia="zh-CN" w:bidi="ar-SA"/>
    </w:rPr>
  </w:style>
  <w:style w:type="paragraph" w:customStyle="1" w:styleId="142">
    <w:name w:val="样式 121 10 磅"/>
    <w:pPr>
      <w:widowControl w:val="0"/>
      <w:jc w:val="both"/>
    </w:pPr>
    <w:rPr>
      <w:rFonts w:ascii="Calibri" w:eastAsia="宋体" w:cs="Arial" w:hAnsi="Calibri"/>
      <w:kern w:val="2"/>
      <w:sz w:val="21"/>
      <w:szCs w:val="22"/>
      <w:lang w:val="en-US" w:eastAsia="zh-CN" w:bidi="ar-SA"/>
    </w:rPr>
  </w:style>
  <w:style w:type="paragraph" w:customStyle="1" w:styleId="143">
    <w:name w:val="样式 122 10 磅"/>
    <w:pPr>
      <w:widowControl w:val="0"/>
      <w:jc w:val="both"/>
    </w:pPr>
    <w:rPr>
      <w:rFonts w:ascii="Calibri" w:eastAsia="宋体" w:cs="Arial" w:hAnsi="Calibri"/>
      <w:kern w:val="2"/>
      <w:sz w:val="21"/>
      <w:szCs w:val="22"/>
      <w:lang w:val="en-US" w:eastAsia="zh-CN" w:bidi="ar-SA"/>
    </w:rPr>
  </w:style>
  <w:style w:type="paragraph" w:customStyle="1" w:styleId="144">
    <w:name w:val="样式 123 10 磅"/>
    <w:pPr>
      <w:widowControl w:val="0"/>
      <w:jc w:val="both"/>
    </w:pPr>
    <w:rPr>
      <w:rFonts w:ascii="Calibri" w:eastAsia="方正黑体_GBK" w:cs="Times New Roman" w:hAnsi="Calibri"/>
      <w:kern w:val="2"/>
      <w:sz w:val="21"/>
      <w:szCs w:val="21"/>
      <w:lang w:val="en-US" w:eastAsia="zh-CN" w:bidi="ar-SA"/>
    </w:rPr>
  </w:style>
  <w:style w:type="paragraph" w:customStyle="1" w:styleId="145">
    <w:name w:val="样式 124 10 磅"/>
    <w:pPr>
      <w:widowControl w:val="0"/>
      <w:jc w:val="both"/>
    </w:pPr>
    <w:rPr>
      <w:rFonts w:ascii="Calibri" w:eastAsia="方正黑体_GBK" w:cs="Times New Roman" w:hAnsi="Calibri"/>
      <w:kern w:val="2"/>
      <w:sz w:val="21"/>
      <w:szCs w:val="21"/>
      <w:lang w:val="en-US" w:eastAsia="zh-CN" w:bidi="ar-SA"/>
    </w:rPr>
  </w:style>
  <w:style w:type="paragraph" w:customStyle="1" w:styleId="146">
    <w:name w:val="样式 125 10 磅"/>
    <w:pPr>
      <w:widowControl w:val="0"/>
      <w:jc w:val="both"/>
    </w:pPr>
    <w:rPr>
      <w:rFonts w:ascii="Calibri" w:eastAsia="方正黑体_GBK" w:cs="Times New Roman" w:hAnsi="Calibri"/>
      <w:kern w:val="2"/>
      <w:sz w:val="21"/>
      <w:szCs w:val="21"/>
      <w:lang w:val="en-US" w:eastAsia="zh-CN" w:bidi="ar-SA"/>
    </w:rPr>
  </w:style>
  <w:style w:type="paragraph" w:customStyle="1" w:styleId="147">
    <w:name w:val="样式 126 10 磅"/>
    <w:pPr>
      <w:widowControl w:val="0"/>
      <w:jc w:val="both"/>
    </w:pPr>
    <w:rPr>
      <w:rFonts w:ascii="Calibri" w:eastAsia="方正黑体_GBK" w:cs="Times New Roman" w:hAnsi="Calibri"/>
      <w:kern w:val="2"/>
      <w:sz w:val="21"/>
      <w:szCs w:val="21"/>
      <w:lang w:val="en-US" w:eastAsia="zh-CN" w:bidi="ar-SA"/>
    </w:rPr>
  </w:style>
  <w:style w:type="paragraph" w:customStyle="1" w:styleId="148">
    <w:name w:val="样式 127 10 磅"/>
    <w:pPr>
      <w:widowControl w:val="0"/>
      <w:jc w:val="both"/>
    </w:pPr>
    <w:rPr>
      <w:rFonts w:ascii="Calibri" w:eastAsia="方正黑体_GBK" w:cs="Times New Roman" w:hAnsi="Calibri"/>
      <w:kern w:val="2"/>
      <w:sz w:val="21"/>
      <w:szCs w:val="21"/>
      <w:lang w:val="en-US" w:eastAsia="zh-CN" w:bidi="ar-SA"/>
    </w:rPr>
  </w:style>
  <w:style w:type="paragraph" w:styleId="149">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150">
    <w:name w:val="样式 128 10 磅"/>
    <w:pPr>
      <w:widowControl w:val="0"/>
      <w:jc w:val="both"/>
    </w:pPr>
    <w:rPr>
      <w:rFonts w:ascii="Calibri" w:eastAsia="宋体" w:cs="Arial" w:hAnsi="Calibri"/>
      <w:kern w:val="2"/>
      <w:sz w:val="21"/>
      <w:szCs w:val="22"/>
      <w:lang w:val="en-US" w:eastAsia="zh-CN" w:bidi="ar-SA"/>
    </w:rPr>
  </w:style>
  <w:style w:type="paragraph" w:customStyle="1" w:styleId="151">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152">
    <w:name w:val="样式 129 10 磅"/>
    <w:pPr>
      <w:widowControl w:val="0"/>
      <w:jc w:val="both"/>
    </w:pPr>
    <w:rPr>
      <w:rFonts w:ascii="Calibri" w:eastAsia="宋体" w:cs="Arial" w:hAnsi="Calibri"/>
      <w:kern w:val="2"/>
      <w:sz w:val="21"/>
      <w:szCs w:val="22"/>
      <w:lang w:val="en-US" w:eastAsia="zh-CN" w:bidi="ar-SA"/>
    </w:rPr>
  </w:style>
  <w:style w:type="paragraph" w:customStyle="1" w:styleId="153">
    <w:name w:val="样式 130 10 磅"/>
    <w:pPr>
      <w:widowControl w:val="0"/>
      <w:jc w:val="both"/>
    </w:pPr>
    <w:rPr>
      <w:rFonts w:ascii="Calibri" w:eastAsia="宋体" w:cs="Arial" w:hAnsi="Calibri"/>
      <w:kern w:val="2"/>
      <w:sz w:val="21"/>
      <w:szCs w:val="22"/>
      <w:lang w:val="en-US" w:eastAsia="zh-CN" w:bidi="ar-SA"/>
    </w:rPr>
  </w:style>
  <w:style w:type="paragraph" w:customStyle="1" w:styleId="154">
    <w:name w:val="样式 131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1</Pages>
  <Words>0</Words>
  <Characters>0</Characters>
  <Lines>1</Lines>
  <Paragraphs>0</Paragraphs>
  <CharactersWithSpaces>42</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13</cp:revision>
  <cp:lastPrinted>2021-03-23T06:36:00Z</cp:lastPrinted>
  <dcterms:created xsi:type="dcterms:W3CDTF">2024-10-18T07:01:00Z</dcterms:created>
  <dcterms:modified xsi:type="dcterms:W3CDTF">2025-03-06T06:27:15Z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B90A7C4EA5A7419AA3712D1F3D9A1BD7_13</vt:lpwstr>
  </property>
</Properties>
</file>