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4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bookmarkStart w:id="1" w:name="_Toc62389127"/>
      <w:bookmarkStart w:id="2" w:name="进境饲料（I级风险产品）指定生产、加工、存放单位核查标准化作业表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pStyle w:val="154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</w:t>
      </w:r>
      <w:r>
        <w:rPr>
          <w:rFonts w:ascii="Times New Roman" w:eastAsia="方正小标宋_GBK" w:hAnsi="Times New Roman"/>
          <w:sz w:val="36"/>
          <w:szCs w:val="36"/>
        </w:rPr>
        <w:t>出境种苗花卉生产</w:t>
      </w:r>
      <w:r>
        <w:rPr>
          <w:rFonts w:ascii="Times New Roman" w:eastAsia="方正小标宋_GBK" w:hAnsi="Times New Roman" w:hint="eastAsia"/>
          <w:sz w:val="36"/>
          <w:szCs w:val="36"/>
        </w:rPr>
        <w:t>企业核查）</w:t>
      </w:r>
      <w:bookmarkEnd w:id="0"/>
    </w:p>
    <w:p>
      <w:pPr>
        <w:pStyle w:val="154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155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61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15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157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15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59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59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16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161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16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3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6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16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16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3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6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664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法定代表人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16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16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16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568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企业联系人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16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16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16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68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lang w:bidi="ar-SA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核实</w:t>
            </w:r>
            <w:r>
              <w:rPr>
                <w:rFonts w:eastAsia="方正仿宋_GBK"/>
                <w:sz w:val="28"/>
              </w:rPr>
              <w:t>本企业</w:t>
            </w:r>
            <w:r>
              <w:rPr>
                <w:rFonts w:eastAsia="方正仿宋_GBK"/>
                <w:sz w:val="28"/>
                <w:szCs w:val="28"/>
              </w:rPr>
              <w:t>质量管理体系运行的持续符合性</w:t>
            </w:r>
            <w:r>
              <w:rPr>
                <w:rFonts w:eastAsia="方正仿宋_GBK" w:hint="eastAsia"/>
                <w:sz w:val="28"/>
              </w:rPr>
              <w:t>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6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68"/>
              <w:spacing w:line="0" w:lineRule="atLeast"/>
              <w:ind w:firstLineChars="300" w:firstLine="948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1111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6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68"/>
              <w:spacing w:line="0" w:lineRule="atLeast"/>
              <w:ind w:firstLineChars="300" w:firstLine="948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68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68"/>
              <w:spacing w:line="0" w:lineRule="atLeast"/>
              <w:ind w:firstLineChars="300" w:firstLine="948"/>
              <w:rPr>
                <w:rFonts w:ascii="方正楷体_GBK" w:eastAsia="方正楷体_GBK" w:hint="eastAsia"/>
                <w:sz w:val="32"/>
                <w:szCs w:val="32"/>
                <w:highlight w:val="yellow"/>
              </w:rPr>
            </w:pPr>
          </w:p>
        </w:tc>
      </w:tr>
    </w:tbl>
    <w:p>
      <w:pPr>
        <w:pStyle w:val="69"/>
        <w:widowControl/>
        <w:spacing w:line="560" w:lineRule="exact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6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46"/>
      </w:pPr>
    </w:p>
    <w:p>
      <w:pPr>
        <w:pStyle w:val="247"/>
        <w:widowControl/>
        <w:spacing w:line="560" w:lineRule="exact"/>
        <w:ind w:left="631" w:firstLineChars="200" w:firstLine="552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一、自查期间，企业对自查内容有疑问的可以联系海关核查人员予以指导。根据工作需要，海关可以要求企业补充相关证据材料或开展实地核查，企业应予以配合。</w:t>
      </w:r>
    </w:p>
    <w:p>
      <w:pPr>
        <w:pStyle w:val="91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kern w:val="0"/>
          <w:sz w:val="32"/>
          <w:szCs w:val="32"/>
          <w:lang w:bidi="ar-SA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二、企业应在海关确定的期限内完成自查，并向海关提交相关资料。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。</w:t>
      </w:r>
    </w:p>
    <w:p>
      <w:pPr>
        <w:pStyle w:val="248"/>
        <w:widowControl/>
        <w:spacing w:line="560" w:lineRule="exact"/>
        <w:ind w:left="631" w:firstLineChars="200" w:firstLine="552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三、企业在自查中发现问题的，可以向海关申请主动披露。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四、出现下列情形之一的，海关将对企业开展实地核查：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的；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（二）被核查人未在海关规定期限内完成自查的；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。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（四）被核查人报送的《企业自查情况表》及随附资料经补充后仍无法满足海关核查需求的；</w:t>
      </w:r>
    </w:p>
    <w:p>
      <w:pPr>
        <w:pStyle w:val="64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（五）海关对企业自查结果审查后，认为需要开展实地核查的；</w:t>
      </w:r>
    </w:p>
    <w:p>
      <w:pPr>
        <w:pStyle w:val="187"/>
        <w:widowControl/>
        <w:spacing w:line="540" w:lineRule="exact"/>
        <w:ind w:left="631" w:firstLineChars="200" w:firstLine="552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  <w:lang w:bidi="ar-SA"/>
        </w:rPr>
        <w:t>发生1次及以上次数出口货物被境外通报或退运的。</w:t>
      </w:r>
    </w:p>
    <w:p>
      <w:pPr>
        <w:pStyle w:val="94"/>
        <w:widowControl/>
        <w:ind w:left="631" w:firstLineChars="200" w:firstLine="552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的，2年内不得再次适用。</w:t>
      </w:r>
    </w:p>
    <w:p>
      <w:pPr>
        <w:pStyle w:val="17"/>
        <w:ind w:left="631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28"/>
          <w:szCs w:val="28"/>
        </w:rPr>
      </w:pPr>
      <w:r>
        <w:rPr>
          <w:rFonts w:eastAsia="方正小标宋_GBK"/>
          <w:sz w:val="28"/>
          <w:szCs w:val="28"/>
        </w:rPr>
        <w:br w:type="page"/>
        <w:t>以下内容企业填写</w:t>
      </w: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7171"/>
      </w:tblGrid>
      <w:tr>
        <w:trPr>
          <w:trHeight w:val="1409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7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Times New Roman" w:eastAsia="方正小标宋_GBK" w:hAnsi="Times New Roman"/>
                <w:sz w:val="44"/>
                <w:szCs w:val="44"/>
              </w:rPr>
              <w:br w:type="page"/>
            </w: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7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73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50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7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71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rPr>
          <w:trHeight w:val="926"/>
        </w:trPr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212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212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（说明：上一年度出口种苗花卉情况，包括但不限于品种、数量、目的地/原产地等，可另附页。）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2.企业在海关注册登记或备案信息与实际是否相符，自查事项涉及资质证书或备案信息是否有效。</w:t>
            </w:r>
          </w:p>
          <w:p>
            <w:pPr>
              <w:pStyle w:val="212"/>
              <w:spacing w:line="480" w:lineRule="exact"/>
              <w:ind w:firstLineChars="200" w:firstLine="47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相关资质证书是否有效。提供营业执照、法定代表人身份证明、相关资质证书、注册登记或备案证明等佐证材料。实际经营场所发生变更的，第3-16项无需填写。）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212"/>
              <w:spacing w:line="480" w:lineRule="exact"/>
              <w:ind w:firstLineChars="200" w:firstLine="552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.种植基地是否符合我国和输入国家/地区规定(如输美介质兰花、输欧星天牛寄主植物等)的防疫要求（如防虫网、缓冲通道等）。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（说明：现场查看种植基地的防虫网、缓冲通道等防疫设施是否满足我国和进口国的要求。该项自查内容中任何一项不符合的，应勾选“否”，并注明具体不符合内容。）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.厂区是否整洁卫生，是否有满足种苗花卉贮存要求的原料场、成品库。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（说明：厂区包括种植花卉加工包装、储存等区域。该项自查内容中任何一项不符合的，应勾选“否”，并注明具体不符合内容。）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.存放、加工、处理、储藏等功能区是否相对独立、布局合理，且与生活区采取隔离措施并有适当的距离。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sz w:val="28"/>
                <w:szCs w:val="28"/>
              </w:rPr>
              <w:t>.是否具有符合检疫要求的清洗、加工、防虫防病及必要的除害处理设施。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（说明：查看清洗、加工、防虫防病及除害处理设施是否配备齐全、正常使用。该项自查内容中任何一项不符合的，应勾选“否”，并注明具体不符合内容。）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</w:t>
            </w:r>
            <w:r>
              <w:rPr>
                <w:rFonts w:eastAsia="方正仿宋_GBK" w:hint="eastAsia"/>
                <w:sz w:val="28"/>
                <w:szCs w:val="28"/>
              </w:rPr>
              <w:t>.加工种苗花卉所使用的农用化学品是否符合我国卫生环保要求，若输入国（地区）对水源及使用的农用化学品有额外要求，是否遵照执行。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农用化学品购买领用记录等，核实所使用农用化学品是否符合我国卫生环保要求，核实水源和使用的农用化学品符合输入国（地区）的要求。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8</w:t>
            </w:r>
            <w:r>
              <w:rPr>
                <w:rFonts w:eastAsia="方正仿宋_GBK" w:hint="eastAsia"/>
                <w:sz w:val="28"/>
                <w:szCs w:val="28"/>
              </w:rPr>
              <w:t>.种苗花卉种植、加工、包装、储运等相关环节疫情防控措施、应急处置措施、有害生物监测与控制、农用化学品使用管理、良好农业操作规范、人员培训、溯源管理等制度是否有效落实。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（说明：自查是否建立相关制度并有效落实。该项自查内容中任何一项不符合的，应勾选“否”，并注明具体不符合内容。）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9</w:t>
            </w:r>
            <w:r>
              <w:rPr>
                <w:rFonts w:eastAsia="方正仿宋_GBK" w:hint="eastAsia"/>
                <w:sz w:val="28"/>
                <w:szCs w:val="28"/>
              </w:rPr>
              <w:t>.是否建立种植档案，随机抽取5批次出口种苗花卉验证其来源流向、种植收获时间，有害生物监测防治措施等溯源信息记录是否完整。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（说明：查阅种植档案是否完整，随机抽取5批次出口种苗花卉查看来源流向、种植收获时间、有害生物监测防治措施等信息是否完整、可溯源，注明随机抽取批次号。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0</w:t>
            </w:r>
            <w:r>
              <w:rPr>
                <w:rFonts w:eastAsia="方正仿宋_GBK" w:hint="eastAsia"/>
                <w:sz w:val="28"/>
                <w:szCs w:val="28"/>
              </w:rPr>
              <w:t>.近两年是否发生重大植物疫情，是否出现重大质量安全事故。</w:t>
            </w:r>
          </w:p>
          <w:p>
            <w:pPr>
              <w:pStyle w:val="213"/>
              <w:spacing w:line="560" w:lineRule="exact"/>
              <w:ind w:firstLineChars="200" w:firstLine="47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（说明：查看相关记录，发生重大植物疫情或重大质量安全事故的，应勾选“是”，并提供详细说明、相关报告和后续处置记录。）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.是否对出口产品进行自检。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（说明：查阅出口种苗花卉自检自控制度及检验记录等。若勾选“否”，应对不符合情况进行描述。）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sz w:val="28"/>
                <w:szCs w:val="28"/>
              </w:rPr>
              <w:t>.是否有与其加工能力相适应的提供种苗花卉货源的种植基地，或与经注册登记的种植基地建有固定的供货关系。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（说明：查看种苗花卉种植基地供货证明、签订合同等。若勾选“否”，应对不符合情况进行描述。）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.是否建立产品进货和销售台账，且至少保存2年。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（说明：查阅是否建立产品进货和销售台账，台账记录是否完整，是否至少保存2年。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.介质更换、冲洗、浸泡、储存等场地是否硬化，介质储存场所是否独立封闭并不受有害生物侵染。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（说明：注明介质更换、冲洗、浸泡、储存等相关场地材质，查看介质储存场所是否独立封闭、免受有害生物侵染。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sz w:val="28"/>
                <w:szCs w:val="28"/>
              </w:rPr>
              <w:t>.包装材料是否符合干净卫生，不得二次使用要求，包装箱上是否标明货物名称、数量、生产经营企业注册登记号、生产批号等信息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（说明：查看包装材料是否符合要求，查阅日常管理工作记录。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sz w:val="28"/>
                <w:szCs w:val="28"/>
              </w:rPr>
              <w:t>.温室（组培室）、成品库是否定期清扫消毒，相关记录是否完整。</w:t>
            </w:r>
          </w:p>
          <w:p>
            <w:pPr>
              <w:pStyle w:val="231"/>
              <w:spacing w:line="480" w:lineRule="exact"/>
              <w:ind w:firstLineChars="200" w:firstLine="472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（说明：查阅温室（组培室）、成品库清扫消毒记录，查看相关场所清洁消毒情况。</w:t>
            </w:r>
            <w:r>
              <w:rPr>
                <w:rFonts w:ascii="方正楷体_GBK" w:eastAsia="方正楷体_GBK" w:hint="eastAsia"/>
                <w:sz w:val="24"/>
              </w:rPr>
              <w:t>存在该内容中任何一项不符合的，应勾选“否”，并注明具体不符合内容。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213"/>
              <w:spacing w:line="560" w:lineRule="exact"/>
              <w:ind w:firstLineChars="200" w:firstLine="552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 </w:t>
            </w:r>
          </w:p>
        </w:tc>
      </w:tr>
      <w:tr>
        <w:trPr>
          <w:trHeight w:val="744"/>
        </w:trPr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1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21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21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21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pStyle w:val="211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211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6"/>
        </w:trPr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/>
              <w:jc w:val="both"/>
              <w:rPr>
                <w:rFonts w:ascii="Times New Roman" w:eastAsia="方正黑体_GBK" w:cs="Arial" w:hAnsi="Times New Roman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方正黑体_GBK" w:cs="方正黑体_GBK" w:hAnsi="Times New Roman" w:hint="eastAsia"/>
                <w:kern w:val="2"/>
                <w:sz w:val="28"/>
                <w:szCs w:val="28"/>
                <w:lang w:val="en-US" w:eastAsia="zh-CN" w:bidi="ar-SA"/>
              </w:rPr>
              <w:t>三、自查结果：</w:t>
            </w: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Chars="200" w:firstLine="552"/>
              <w:jc w:val="both"/>
              <w:rPr>
                <w:rFonts w:ascii="Times New Roman" w:eastAsia="方正仿宋_GBK" w:cs="Arial" w:hAnsi="Times New Roman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方正仿宋_GBK" w:cs="方正仿宋_GBK" w:hAnsi="Times New Roman" w:hint="eastAsia"/>
                <w:kern w:val="2"/>
                <w:sz w:val="28"/>
                <w:szCs w:val="28"/>
                <w:lang w:val="en-US" w:eastAsia="zh-CN" w:bidi="ar-SA"/>
              </w:rPr>
              <w:t>○未发现问题</w:t>
            </w: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Chars="200" w:firstLine="552"/>
              <w:jc w:val="both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方正仿宋_GBK" w:hAnsi="Times New Roman" w:hint="eastAsia"/>
                <w:kern w:val="2"/>
                <w:sz w:val="28"/>
                <w:szCs w:val="22"/>
                <w:lang w:val="en-US" w:eastAsia="zh-CN" w:bidi="ar-SA"/>
              </w:rPr>
              <w:t>○发现问题</w:t>
            </w:r>
            <w:r>
              <w:rPr>
                <w:rFonts w:ascii="Times New Roman" w:eastAsia="方正仿宋_GBK" w:hAnsi="Times New Roman" w:hint="eastAsia"/>
                <w:sz w:val="28"/>
              </w:rPr>
              <w:t>，描述：</w:t>
            </w: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Chars="200" w:firstLine="552"/>
              <w:jc w:val="both"/>
              <w:rPr>
                <w:rFonts w:ascii="Times New Roman" w:eastAsia="方正仿宋_GBK" w:cs="Arial" w:hAnsi="Times New Roman"/>
                <w:sz w:val="28"/>
                <w:szCs w:val="22"/>
                <w:lang w:val="en-US" w:eastAsia="en-US" w:bidi="ar-SA"/>
              </w:rPr>
            </w:pP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Chars="200" w:firstLine="552"/>
              <w:jc w:val="both"/>
              <w:rPr>
                <w:rFonts w:ascii="Times New Roman" w:eastAsia="方正仿宋_GBK" w:cs="Arial" w:hAnsi="Times New Roman"/>
                <w:sz w:val="28"/>
                <w:szCs w:val="22"/>
                <w:lang w:val="en-US" w:eastAsia="en-US" w:bidi="ar-SA"/>
              </w:rPr>
            </w:pPr>
            <w:r>
              <w:rPr>
                <w:rFonts w:ascii="Times New Roman" w:eastAsia="方正仿宋_GBK" w:cs="方正仿宋_GBK" w:hAnsi="Times New Roman" w:hint="eastAsia"/>
                <w:kern w:val="2"/>
                <w:sz w:val="28"/>
                <w:szCs w:val="22"/>
                <w:lang w:val="en-US" w:eastAsia="zh-CN" w:bidi="ar-SA"/>
              </w:rPr>
              <w:t>对照自查内容，我公司实施自查，发现</w:t>
            </w:r>
            <w:r>
              <w:rPr>
                <w:rFonts w:ascii="Times New Roman" w:eastAsia="方正仿宋_GBK" w:cs="方正仿宋_GBK" w:hAnsi="Times New Roman" w:hint="eastAsia"/>
                <w:b/>
                <w:kern w:val="2"/>
                <w:sz w:val="28"/>
                <w:szCs w:val="22"/>
                <w:lang w:val="en-US" w:eastAsia="zh-CN" w:bidi="ar-SA"/>
              </w:rPr>
              <w:t>存在</w:t>
            </w:r>
            <w:r>
              <w:rPr>
                <w:rFonts w:ascii="Times New Roman" w:eastAsia="方正仿宋_GBK" w:cs="Arial" w:hAnsi="Times New Roman"/>
                <w:b/>
                <w:kern w:val="2"/>
                <w:sz w:val="28"/>
                <w:szCs w:val="22"/>
                <w:lang w:val="en-US" w:eastAsia="zh-CN" w:bidi="ar-SA"/>
              </w:rPr>
              <w:t>/</w:t>
            </w:r>
            <w:r>
              <w:rPr>
                <w:rFonts w:ascii="Times New Roman" w:eastAsia="方正仿宋_GBK" w:cs="方正仿宋_GBK" w:hAnsi="Times New Roman" w:hint="eastAsia"/>
                <w:b/>
                <w:kern w:val="2"/>
                <w:sz w:val="28"/>
                <w:szCs w:val="22"/>
                <w:lang w:val="en-US" w:eastAsia="zh-CN" w:bidi="ar-SA"/>
              </w:rPr>
              <w:t>不存在</w:t>
            </w:r>
            <w:r>
              <w:rPr>
                <w:rFonts w:ascii="Times New Roman" w:eastAsia="方正仿宋_GBK" w:cs="方正仿宋_GBK" w:hAnsi="Times New Roman" w:hint="eastAsia"/>
                <w:kern w:val="2"/>
                <w:sz w:val="28"/>
                <w:szCs w:val="22"/>
                <w:lang w:val="en-US" w:eastAsia="zh-CN" w:bidi="ar-SA"/>
              </w:rPr>
              <w:t>违反海关监管规定的情形，现报告如下：</w:t>
            </w: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/>
              <w:jc w:val="both"/>
              <w:rPr>
                <w:rFonts w:ascii="Times New Roman" w:eastAsia="方正黑体_GBK" w:cs="Arial" w:hAnsi="Times New Roman"/>
                <w:sz w:val="28"/>
                <w:szCs w:val="28"/>
                <w:lang w:val="en-US" w:eastAsia="en-US" w:bidi="ar-SA"/>
              </w:rPr>
            </w:pP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/>
              <w:jc w:val="both"/>
              <w:rPr>
                <w:rFonts w:ascii="Times New Roman" w:eastAsia="方正黑体_GBK" w:cs="Arial" w:hAnsi="Times New Roman"/>
                <w:sz w:val="28"/>
                <w:szCs w:val="28"/>
                <w:lang w:val="en-US" w:eastAsia="en-US" w:bidi="ar-SA"/>
              </w:rPr>
            </w:pPr>
          </w:p>
          <w:p>
            <w:pPr>
              <w:pStyle w:val="27"/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/>
              <w:jc w:val="both"/>
              <w:rPr>
                <w:rFonts w:ascii="Times New Roman" w:eastAsia="方正黑体_GBK" w:cs="Arial" w:hAnsi="Times New Roman"/>
                <w:sz w:val="28"/>
                <w:szCs w:val="28"/>
                <w:lang w:val="en-US" w:eastAsia="en-US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eastAsia="方正仿宋_GBK" w:hAnsi="Times New Roman" w:hint="eastAsia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cs="Arial" w:hAnsi="Times New Roman" w:hint="eastAsia"/>
                <w:kern w:val="2"/>
                <w:sz w:val="28"/>
                <w:szCs w:val="22"/>
                <w:lang w:val="en-US" w:eastAsia="zh-CN" w:bidi="ar-SA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0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pStyle w:val="207"/>
              <w:spacing w:line="480" w:lineRule="exact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</w:p>
          <w:p>
            <w:pPr>
              <w:pStyle w:val="20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20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pStyle w:val="207"/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207"/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pStyle w:val="207"/>
              <w:spacing w:line="480" w:lineRule="exact"/>
              <w:ind w:right="288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751"/>
        </w:trPr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0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pStyle w:val="206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>
      <w:pPr>
        <w:pStyle w:val="80"/>
        <w:spacing w:line="560" w:lineRule="exact"/>
        <w:rPr>
          <w:rFonts w:eastAsia="方正仿宋_GBK"/>
          <w:sz w:val="28"/>
          <w:szCs w:val="28"/>
        </w:rPr>
      </w:pPr>
      <w:bookmarkEnd w:id="1"/>
      <w:bookmarkEnd w:id="2"/>
    </w:p>
    <w:sectPr>
      <w:footerReference w:type="default" r:id="rId2"/>
      <w:pgSz w:w="11907" w:h="16840"/>
      <w:pgMar w:top="2098" w:right="1474" w:bottom="1843" w:left="1588" w:header="1814" w:footer="1474" w:gutter="0"/>
      <w:pgNumType w:start="0"/>
      <w:titlePg/>
      <w:docGrid w:type="linesAndChars" w:linePitch="580" w:charSpace="-8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方正小标宋_GBK">
    <w:altName w:val="Microsoft YaHei UI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Microsoft YaHei UI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Microsoft YaHei UI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Microsoft YaHei UI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variable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3"/>
      <w:tabs>
        <w:tab w:val="clear" w:pos="4153"/>
        <w:tab w:val="clear" w:pos="8307"/>
        <w:tab w:val="center" w:pos="4153"/>
        <w:tab w:val="right" w:pos="8307"/>
      </w:tabs>
      <w:jc w:val="center"/>
      <w:rPr>
        <w:sz w:val="32"/>
        <w:szCs w:val="32"/>
      </w:rPr>
    </w:pP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0FFFFF81"/>
    <w:multiLevelType w:val="singleLevel"/>
    <w:tmpl w:val="0FFFFF81"/>
    <w:lvl w:ilvl="0">
      <w:start w:val="1"/>
      <w:numFmt w:val="bullet"/>
      <w:lvlRestart w:val="0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1">
    <w:nsid w:val="0FFFFF82"/>
    <w:multiLevelType w:val="singleLevel"/>
    <w:tmpl w:val="0FFFFF82"/>
    <w:lvl w:ilvl="0">
      <w:start w:val="1"/>
      <w:numFmt w:val="bullet"/>
      <w:lvlRestart w:val="0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2">
    <w:nsid w:val="0FFFFF80"/>
    <w:multiLevelType w:val="singleLevel"/>
    <w:tmpl w:val="0FFFFF80"/>
    <w:lvl w:ilvl="0">
      <w:start w:val="1"/>
      <w:numFmt w:val="bullet"/>
      <w:lvlRestart w:val="0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N2VkY2JkZWZjYmY3ODJmZWZkYzY4MzM3YjkwOTE2Nj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next w:val="0"/>
    <w:pPr>
      <w:ind w:left="2520"/>
    </w:pPr>
  </w:style>
  <w:style w:type="paragraph" w:styleId="16">
    <w:name w:val="List Bullet 4"/>
    <w:basedOn w:val="0"/>
    <w:pPr>
      <w:numPr>
        <w:ilvl w:val="0"/>
        <w:numId w:val="1"/>
      </w:numPr>
      <w:tabs>
        <w:tab w:val="clear" w:pos="1620"/>
        <w:tab w:val="left" w:pos="1620"/>
      </w:tabs>
    </w:pPr>
  </w:style>
  <w:style w:type="paragraph" w:styleId="17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8">
    <w:name w:val="annotation text"/>
    <w:basedOn w:val="0"/>
    <w:pPr>
      <w:jc w:val="left"/>
    </w:pPr>
  </w:style>
  <w:style w:type="paragraph" w:styleId="19">
    <w:name w:val="List Bullet 3"/>
    <w:basedOn w:val="0"/>
    <w:pPr>
      <w:numPr>
        <w:ilvl w:val="0"/>
        <w:numId w:val="2"/>
      </w:numPr>
      <w:tabs>
        <w:tab w:val="clear" w:pos="1200"/>
        <w:tab w:val="left" w:pos="1200"/>
      </w:tabs>
    </w:pPr>
  </w:style>
  <w:style w:type="paragraph" w:styleId="20">
    <w:name w:val="toc 5"/>
    <w:basedOn w:val="0"/>
    <w:next w:val="0"/>
    <w:pPr>
      <w:ind w:left="1680"/>
    </w:pPr>
  </w:style>
  <w:style w:type="paragraph" w:styleId="21">
    <w:name w:val="List Bullet 5"/>
    <w:basedOn w:val="0"/>
    <w:pPr>
      <w:numPr>
        <w:ilvl w:val="0"/>
        <w:numId w:val="3"/>
      </w:numPr>
      <w:tabs>
        <w:tab w:val="clear" w:pos="2040"/>
        <w:tab w:val="left" w:pos="2040"/>
      </w:tabs>
    </w:pPr>
  </w:style>
  <w:style w:type="paragraph" w:styleId="22">
    <w:name w:val="Balloon Text"/>
    <w:basedOn w:val="0"/>
    <w:next w:val="0"/>
    <w:rPr>
      <w:sz w:val="18"/>
    </w:rPr>
  </w:style>
  <w:style w:type="paragraph" w:styleId="23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24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  <w:bdr w:val="none" w:sz="0" w:space="0" w:color="auto"/>
    </w:rPr>
  </w:style>
  <w:style w:type="paragraph" w:styleId="25">
    <w:name w:val="Signature"/>
    <w:basedOn w:val="0"/>
    <w:pPr>
      <w:ind w:left="4320"/>
    </w:pPr>
  </w:style>
  <w:style w:type="paragraph" w:styleId="26">
    <w:name w:val="List 4"/>
    <w:basedOn w:val="0"/>
    <w:pPr>
      <w:ind w:leftChars="600" w:left="800" w:hangingChars="200" w:hanging="200"/>
      <w:contextualSpacing/>
    </w:pPr>
  </w:style>
  <w:style w:type="paragraph" w:styleId="27">
    <w:name w:val="Normal (Web)"/>
    <w:basedOn w:val="0"/>
    <w:rPr>
      <w:sz w:val="24"/>
    </w:rPr>
  </w:style>
  <w:style w:type="paragraph" w:styleId="28">
    <w:name w:val="annotation subject"/>
    <w:basedOn w:val="18"/>
    <w:next w:val="18"/>
    <w:rPr>
      <w:b/>
    </w:rPr>
  </w:style>
  <w:style w:type="character" w:styleId="29">
    <w:name w:val="HTML Definition"/>
    <w:rPr>
      <w:i/>
    </w:rPr>
  </w:style>
  <w:style w:type="character" w:styleId="30">
    <w:name w:val="HTML Acronym"/>
    <w:basedOn w:val="10"/>
  </w:style>
  <w:style w:type="character" w:styleId="31">
    <w:name w:val="Hyperlink"/>
    <w:rPr>
      <w:color w:val="0000FF"/>
      <w:u w:val="single"/>
    </w:rPr>
  </w:style>
  <w:style w:type="character" w:styleId="32">
    <w:name w:val="HTML Keyboard"/>
    <w:rPr>
      <w:rFonts w:ascii="Courier New" w:hAnsi="Courier New"/>
      <w:sz w:val="20"/>
    </w:rPr>
  </w:style>
  <w:style w:type="paragraph" w:customStyle="1" w:styleId="33">
    <w:name w:val="正文1"/>
    <w:next w:val="34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">
    <w:name w:val="样式 10 磅"/>
    <w:next w:val="2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正文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正文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正文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正文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正文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正文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正文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正文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正文1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正文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正文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正文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正文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0">
    <w:name w:val="正文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正文1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正文1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">
    <w:name w:val="正文2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6">
    <w:name w:val="正文21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7">
    <w:name w:val="正文文字 6"/>
    <w:basedOn w:val="0"/>
    <w:next w:val="0"/>
    <w:pPr>
      <w:ind w:left="240"/>
    </w:pPr>
    <w:rPr>
      <w:sz w:val="20"/>
    </w:rPr>
  </w:style>
  <w:style w:type="paragraph" w:customStyle="1" w:styleId="58">
    <w:name w:val="公式样式 矢量矩阵"/>
    <w:rPr>
      <w:rFonts w:ascii="Times New Roman" w:eastAsia="宋体" w:cs="Times New Roman" w:hAnsi="Times New Roman"/>
      <w:b/>
      <w:sz w:val="20"/>
      <w:lang w:val="en-US" w:eastAsia="zh-CN" w:bidi="ar-SA"/>
    </w:rPr>
  </w:style>
  <w:style w:type="paragraph" w:customStyle="1" w:styleId="59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0">
    <w:name w:val="正文2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50 10 磅"/>
    <w:next w:val="6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正文2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3 10 磅16"/>
    <w:next w:val="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4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正文23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6">
    <w:name w:val="正文40"/>
    <w:next w:val="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7">
    <w:name w:val="正文53"/>
    <w:next w:val="4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57 10 磅6"/>
    <w:next w:val="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1 10 磅"/>
    <w:next w:val="3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1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2">
    <w:name w:val="样式 2 10 磅"/>
    <w:next w:val="7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3">
    <w:name w:val="样式 2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正文54"/>
    <w:next w:val="4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正文51"/>
    <w:next w:val="3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59 10 磅1"/>
    <w:next w:val="3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78">
    <w:name w:val="正文2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正文57"/>
    <w:next w:val="2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0">
    <w:name w:val="正文2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4 10 磅"/>
    <w:next w:val="8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83">
    <w:name w:val="样式 4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84">
    <w:name w:val="样式 30 10 磅"/>
    <w:next w:val="1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5 10 磅"/>
    <w:next w:val="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6">
    <w:name w:val="样式 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7">
    <w:name w:val="样式 31 10 磅"/>
    <w:next w:val="1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8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38 10 磅"/>
    <w:next w:val="2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66 10 磅"/>
    <w:next w:val="9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32 10 磅"/>
    <w:next w:val="2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4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84 10 磅"/>
    <w:next w:val="5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48 10 磅"/>
    <w:next w:val="1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93 10 磅"/>
    <w:next w:val="5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98 10 磅"/>
    <w:next w:val="6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13 10 磅"/>
    <w:next w:val="5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5 10 磅"/>
    <w:next w:val="5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25 10 磅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24 10 磅"/>
    <w:next w:val="2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6 10 磅"/>
    <w:next w:val="10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6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5">
    <w:name w:val="样式 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6">
    <w:name w:val="样式 8 10 磅"/>
    <w:next w:val="10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07">
    <w:name w:val="样式 8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08">
    <w:name w:val="正文2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9">
    <w:name w:val="正文2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10 10 磅"/>
    <w:next w:val="1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2">
    <w:name w:val="样式 1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3">
    <w:name w:val="正文2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5">
    <w:name w:val="样式 1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6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7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8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9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0">
    <w:name w:val="样式 1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1">
    <w:name w:val="样式 2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2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3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4">
    <w:name w:val="样式 23 10 磅"/>
    <w:next w:val="125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5">
    <w:name w:val="样式 23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6">
    <w:name w:val="正文3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7">
    <w:name w:val="正文3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正文3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9">
    <w:name w:val="正文3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0">
    <w:name w:val="正文34"/>
    <w:next w:val="131"/>
    <w:pPr>
      <w:jc w:val="both"/>
    </w:pPr>
    <w:rPr>
      <w:rFonts w:ascii="Times New Roman" w:eastAsia="方正仿宋_GBK" w:cs="Times New Roman" w:hAnsi="Times New Roman"/>
      <w:sz w:val="21"/>
      <w:szCs w:val="21"/>
      <w:lang w:val="en-US" w:eastAsia="zh-CN" w:bidi="ar-SA"/>
    </w:rPr>
  </w:style>
  <w:style w:type="paragraph" w:customStyle="1" w:styleId="131">
    <w:name w:val="正文38"/>
    <w:pPr>
      <w:jc w:val="both"/>
    </w:pPr>
    <w:rPr>
      <w:rFonts w:ascii="Times New Roman" w:eastAsia="方正仿宋_GBK" w:cs="Times New Roman" w:hAnsi="Times New Roman"/>
      <w:sz w:val="21"/>
      <w:szCs w:val="21"/>
      <w:lang w:val="en-US" w:eastAsia="zh-CN" w:bidi="ar-SA"/>
    </w:rPr>
  </w:style>
  <w:style w:type="paragraph" w:customStyle="1" w:styleId="132">
    <w:name w:val="正文3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3">
    <w:name w:val="正文3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4">
    <w:name w:val="正文3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5">
    <w:name w:val="样式 10 磅63"/>
    <w:next w:val="2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36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7">
    <w:name w:val="样式 2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样式 2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9">
    <w:name w:val="样式 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29 10 磅"/>
    <w:next w:val="14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1">
    <w:name w:val="样式 29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3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3">
    <w:name w:val="样式 3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4">
    <w:name w:val="样式 35 10 磅"/>
    <w:next w:val="145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5">
    <w:name w:val="样式 35 10 磅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6">
    <w:name w:val="样式 3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7">
    <w:name w:val="样式 3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8">
    <w:name w:val="样式 3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4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0">
    <w:name w:val="样式 41 10 磅"/>
    <w:next w:val="6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1">
    <w:name w:val="样式 4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2">
    <w:name w:val="样式 4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3">
    <w:name w:val="样式 4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4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5">
    <w:name w:val="样式 49 10 磅"/>
    <w:next w:val="7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6">
    <w:name w:val="样式 51 10 磅"/>
    <w:next w:val="7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52 10 磅"/>
    <w:next w:val="7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8">
    <w:name w:val="样式 53 10 磅"/>
    <w:next w:val="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9">
    <w:name w:val="样式 54 10 磅"/>
    <w:next w:val="7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0">
    <w:name w:val="样式 55 10 磅"/>
    <w:next w:val="7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1">
    <w:name w:val="样式 56 10 磅"/>
    <w:next w:val="8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2">
    <w:name w:val="样式 57 10 磅"/>
    <w:next w:val="7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3">
    <w:name w:val="样式 58 10 磅"/>
    <w:next w:val="8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4">
    <w:name w:val="样式 59 10 磅"/>
    <w:next w:val="8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5">
    <w:name w:val="样式 60 10 磅"/>
    <w:next w:val="8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6">
    <w:name w:val="样式 61 10 磅"/>
    <w:next w:val="8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7">
    <w:name w:val="样式 62 10 磅"/>
    <w:next w:val="8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8">
    <w:name w:val="样式 63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9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0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1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3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4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5">
    <w:name w:val="样式 7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6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7">
    <w:name w:val="样式 7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7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9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0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1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2">
    <w:name w:val="样式 8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3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4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5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6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7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8">
    <w:name w:val="样式 8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样式 8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0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1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2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3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4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5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6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7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8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9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0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1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2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3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4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5">
    <w:name w:val="样式 10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6">
    <w:name w:val="样式 10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7">
    <w:name w:val="样式 10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8">
    <w:name w:val="样式 1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9">
    <w:name w:val="样式 1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0">
    <w:name w:val="样式 1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1">
    <w:name w:val="样式 1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2">
    <w:name w:val="样式 1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3">
    <w:name w:val="样式 11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4">
    <w:name w:val="样式 1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5">
    <w:name w:val="样式 1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6">
    <w:name w:val="样式 1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7">
    <w:name w:val="样式 1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8">
    <w:name w:val="样式 1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9">
    <w:name w:val="样式 1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0">
    <w:name w:val="样式 1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1">
    <w:name w:val="样式 1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3">
    <w:name w:val="样式 12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样式 12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5">
    <w:name w:val="样式 1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6">
    <w:name w:val="样式 1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7">
    <w:name w:val="样式 1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8">
    <w:name w:val="样式 83 三号"/>
    <w:next w:val="78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29">
    <w:name w:val="样式 1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0">
    <w:name w:val="样式 1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1">
    <w:name w:val="样式 1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1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3">
    <w:name w:val="样式 1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4">
    <w:name w:val="样式 1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5">
    <w:name w:val="样式 1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6">
    <w:name w:val="样式 1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7">
    <w:name w:val="样式 1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8">
    <w:name w:val="样式 1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9">
    <w:name w:val="样式 1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0">
    <w:name w:val="样式 1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1">
    <w:name w:val="样式 1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2">
    <w:name w:val="样式 1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3">
    <w:name w:val="样式 148 10 磅"/>
    <w:next w:val="201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4">
    <w:name w:val="样式 1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5">
    <w:name w:val="样式 1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6">
    <w:name w:val="样式 146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7">
    <w:name w:val="样式 1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8">
    <w:name w:val="样式 1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9">
    <w:name w:val="样式 1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8</TotalTime>
  <Application>Yozo_Office</Application>
  <Pages>1</Pages>
  <Words>0</Words>
  <Characters>0</Characters>
  <Lines>1</Lines>
  <Paragraphs>0</Paragraphs>
  <CharactersWithSpaces>0</CharactersWithSpaces>
  <Company>Customs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第二批纳入“多查合一”事项核查标准化作业表</dc:title>
  <dc:creator>耿东</dc:creator>
  <cp:lastModifiedBy>曹昱芳</cp:lastModifiedBy>
  <cp:revision>69</cp:revision>
  <dcterms:created xsi:type="dcterms:W3CDTF">2019-07-04T02:43:00Z</dcterms:created>
  <dcterms:modified xsi:type="dcterms:W3CDTF">2025-03-06T06:40:29Z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</Properties>
</file>