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36"/>
          <w:szCs w:val="36"/>
        </w:rPr>
        <w:t>(</w:t>
      </w:r>
      <w:r>
        <w:rPr>
          <w:rFonts w:ascii="Times New Roman" w:eastAsia="方正小标宋_GBK" w:hAnsi="Times New Roman" w:hint="eastAsia"/>
          <w:sz w:val="36"/>
          <w:szCs w:val="36"/>
        </w:rPr>
        <w:t>供港澳蔬菜生产加工企业核查</w:t>
      </w:r>
      <w:r>
        <w:rPr>
          <w:rFonts w:ascii="Times New Roman" w:eastAsia="方正小标宋_GBK" w:hAnsi="Times New Roman"/>
          <w:sz w:val="36"/>
          <w:szCs w:val="36"/>
        </w:rPr>
        <w:t>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 w:hint="eastAsia"/>
          <w:sz w:val="36"/>
          <w:szCs w:val="36"/>
        </w:rPr>
      </w:pPr>
    </w:p>
    <w:p>
      <w:pPr>
        <w:pStyle w:val="63"/>
        <w:widowControl/>
        <w:spacing w:line="560" w:lineRule="exact"/>
        <w:rPr>
          <w:rFonts w:ascii="Times New Roman" w:eastAsia="方正小标宋_GBK" w:cs="Times New Roman" w:hAnsi="Times New Roman"/>
          <w:sz w:val="28"/>
          <w:szCs w:val="28"/>
          <w:lang w:bidi="ar-SA"/>
        </w:rPr>
      </w:pPr>
      <w:r>
        <w:rPr>
          <w:rFonts w:ascii="Times New Roman" w:eastAsia="方正小标宋_GBK" w:cs="Times New Roman" w:hAnsi="Times New Roman"/>
          <w:sz w:val="28"/>
          <w:szCs w:val="28"/>
          <w:lang w:bidi="ar-SA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64"/>
              <w:spacing w:line="480" w:lineRule="exac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企业名称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65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40"/>
              <w:spacing w:line="480" w:lineRule="exact"/>
              <w:jc w:val="center"/>
              <w:rPr>
                <w:rFonts w:eastAsia="方正楷体_GBK"/>
                <w:sz w:val="32"/>
                <w:szCs w:val="32"/>
              </w:rPr>
            </w:pPr>
            <w:r>
              <w:rPr>
                <w:rFonts w:eastAsia="方正楷体_GBK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42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66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统一社会</w:t>
            </w:r>
          </w:p>
          <w:p>
            <w:pPr>
              <w:pStyle w:val="66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信用代码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67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市场主体类  型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69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</w:tr>
      <w:tr>
        <w:trPr>
          <w:trHeight w:val="895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0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企业类型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sym w:font="Wingdings 2" w:char="F0A3"/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高级认证企业</w:t>
            </w:r>
          </w:p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sym w:font="Wingdings 2" w:char="F0A3"/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sym w:font="Wingdings 2" w:char="F0A3"/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出境竹木草制品生产加工一类企业</w:t>
            </w:r>
          </w:p>
        </w:tc>
      </w:tr>
      <w:tr>
        <w:trPr>
          <w:trHeight w:val="1259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0"/>
              <w:spacing w:line="0" w:lineRule="atLeast"/>
              <w:rPr>
                <w:rFonts w:ascii="Times New Roman" w:eastAsia="方正楷体_GBK" w:cs="Times New Roman" w:hAnsi="Times New Roman"/>
                <w:sz w:val="30"/>
                <w:szCs w:val="30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0"/>
                <w:szCs w:val="30"/>
                <w:lang w:bidi="ar-SA"/>
              </w:rPr>
              <w:t>主要经营场所（住所）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</w:p>
        </w:tc>
      </w:tr>
      <w:tr>
        <w:trPr>
          <w:trHeight w:val="829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法</w:t>
            </w: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定代表</w:t>
            </w: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73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74"/>
              <w:spacing w:line="0" w:lineRule="atLeast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</w:tr>
      <w:tr>
        <w:trPr>
          <w:trHeight w:val="857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企业联系人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73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74"/>
              <w:spacing w:line="0" w:lineRule="atLeast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</w:tr>
      <w:tr>
        <w:trPr>
          <w:trHeight w:val="121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自</w:t>
            </w: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查内容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33"/>
              <w:spacing w:line="560" w:lineRule="exact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</w:rPr>
              <w:t>（可根据实际填写）</w:t>
            </w:r>
            <w:r>
              <w:rPr>
                <w:rFonts w:eastAsia="方正仿宋_GBK"/>
                <w:sz w:val="28"/>
                <w:szCs w:val="28"/>
              </w:rPr>
              <w:t>企业海关注册基本信息情况；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质量安全及溯源管理体系运行情况；相关设施设备情况；</w:t>
            </w:r>
            <w:r>
              <w:rPr>
                <w:rFonts w:eastAsia="方正仿宋_GBK"/>
                <w:color w:val="000000"/>
                <w:sz w:val="28"/>
              </w:rPr>
              <w:t>企业相关记录是否完整</w:t>
            </w:r>
            <w:r>
              <w:rPr>
                <w:rFonts w:eastAsia="方正仿宋_GBK" w:hint="eastAsia"/>
                <w:color w:val="000000"/>
                <w:sz w:val="28"/>
              </w:rPr>
              <w:t>。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自查期限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</w:tr>
    </w:tbl>
    <w:p>
      <w:pPr>
        <w:pStyle w:val="23"/>
        <w:widowControl/>
        <w:spacing w:line="560" w:lineRule="exact"/>
        <w:rPr>
          <w:rFonts w:ascii="Times New Roman" w:eastAsia="方正小标宋_GBK" w:hAnsi="Times New Roman"/>
          <w:sz w:val="44"/>
          <w:szCs w:val="44"/>
        </w:rPr>
      </w:pPr>
    </w:p>
    <w:p>
      <w:pPr>
        <w:pStyle w:val="96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97"/>
      </w:pPr>
    </w:p>
    <w:p>
      <w:pPr>
        <w:pStyle w:val="98"/>
        <w:widowControl/>
        <w:spacing w:line="560" w:lineRule="exact"/>
        <w:ind w:left="420"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99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0"/>
        <w:widowControl/>
        <w:spacing w:line="560" w:lineRule="exact"/>
        <w:ind w:left="420"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02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03"/>
        <w:widowControl/>
        <w:ind w:left="420"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widowControl/>
        <w:spacing w:line="560" w:lineRule="exact"/>
        <w:outlineLvl w:val="0"/>
        <w:rPr>
          <w:rFonts w:ascii="Times New Roman" w:eastAsia="方正小标宋_GBK" w:hAnsi="Times New Roman"/>
          <w:sz w:val="28"/>
          <w:szCs w:val="28"/>
        </w:rPr>
      </w:pPr>
    </w:p>
    <w:p>
      <w:pPr>
        <w:widowControl/>
        <w:spacing w:line="560" w:lineRule="exact"/>
        <w:outlineLvl w:val="0"/>
        <w:rPr>
          <w:rFonts w:ascii="Times New Roman" w:eastAsia="方正小标宋_GBK" w:hAnsi="Times New Roman"/>
          <w:sz w:val="28"/>
          <w:szCs w:val="28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734" w:tblpY="61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7178"/>
      </w:tblGrid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自查经办人及职务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3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83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自查地点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3"/>
              <w:spacing w:line="560" w:lineRule="exact"/>
              <w:jc w:val="left"/>
              <w:rPr>
                <w:rFonts w:eastAsia="方正仿宋_GBK"/>
                <w:color w:val="000000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8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自查时间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3"/>
              <w:spacing w:line="560" w:lineRule="exact"/>
              <w:jc w:val="left"/>
              <w:rPr>
                <w:rFonts w:eastAsia="方正仿宋_GBK"/>
                <w:color w:val="000000"/>
                <w:sz w:val="28"/>
              </w:rPr>
            </w:pPr>
          </w:p>
        </w:tc>
      </w:tr>
      <w:tr>
        <w:trPr>
          <w:trHeight w:val="3109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37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1.企业近1年内进口业务情况概述。</w:t>
            </w:r>
          </w:p>
          <w:p>
            <w:pPr>
              <w:pStyle w:val="85"/>
              <w:spacing w:line="480" w:lineRule="exact"/>
              <w:ind w:firstLineChars="200" w:firstLine="480"/>
              <w:rPr>
                <w:rFonts w:ascii="Times New Roman" w:eastAsia="方正楷体_GBK" w:cs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24"/>
                <w:szCs w:val="24"/>
                <w:lang w:bidi="ar-SA"/>
              </w:rPr>
              <w:t>（说明：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上一年度生产加工情况，包括但不限于品种、数量、供销情况等，可另附页。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  <w:lang w:bidi="ar-SA"/>
              </w:rPr>
              <w:t>）</w:t>
            </w:r>
          </w:p>
          <w:p>
            <w:pPr>
              <w:pStyle w:val="85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pStyle w:val="88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8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○是        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○否 </w:t>
            </w:r>
          </w:p>
          <w:p>
            <w:pPr>
              <w:pStyle w:val="8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○不适用        </w:t>
            </w:r>
          </w:p>
          <w:p>
            <w:pPr>
              <w:pStyle w:val="8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3. 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质量管理体系及制度文件（包括组织机构、产品溯源制度、有毒有害物质监控制度、质量控制制度、召回管理制度等）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是否有效运行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。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○不适用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4"/>
              <w:widowControl/>
              <w:autoSpaceDN w:val="0"/>
              <w:snapToGrid w:val="0"/>
              <w:ind w:firstLine="640"/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 w:hint="eastAsia"/>
                <w:color w:val="000000"/>
                <w:sz w:val="28"/>
                <w:szCs w:val="28"/>
                <w:lang w:bidi="ar-SA"/>
              </w:rPr>
              <w:t>4. 企业周围是否无影响蔬菜质量安全的污染源？生产加工用水是否符合国家有关标准要求。</w:t>
            </w:r>
          </w:p>
          <w:p>
            <w:pPr>
              <w:pStyle w:val="34"/>
              <w:widowControl/>
              <w:autoSpaceDN w:val="0"/>
              <w:snapToGrid w:val="0"/>
              <w:ind w:firstLine="640"/>
              <w:rPr>
                <w:rFonts w:ascii="Times New Roman" w:eastAsia="方正仿宋_GBK" w:cs="Times New Roman" w:hAnsi="Times New Roman"/>
                <w:color w:val="000000"/>
                <w:sz w:val="28"/>
                <w:szCs w:val="28"/>
                <w:lang w:bidi="ar-SA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（说明：存在任何一项不符合的，应勾选“否”，并注明具体不符合内容。）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○不适用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cs="Arial"/>
                <w:color w:val="000000"/>
                <w:sz w:val="28"/>
                <w:lang w:bidi="ar-SA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cs="Arial"/>
                <w:color w:val="000000"/>
                <w:sz w:val="28"/>
                <w:lang w:bidi="ar-SA"/>
              </w:rPr>
              <w:t xml:space="preserve"> 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cs="Arial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>5. 生产加工区与生活区是否隔离，生产加工车间布局是否合理，是否有洗手消毒、防蝇、防虫、防鼠设施，排水是否畅通，地面是否防滑、坚固、不透水。</w:t>
            </w:r>
            <w:r>
              <w:rPr>
                <w:rFonts w:eastAsia="方正仿宋_GBK" w:cs="Arial"/>
                <w:color w:val="000000"/>
                <w:sz w:val="28"/>
                <w:lang w:bidi="ar-SA"/>
              </w:rPr>
              <w:t xml:space="preserve"> </w:t>
            </w:r>
          </w:p>
          <w:p>
            <w:pPr>
              <w:pStyle w:val="34"/>
              <w:widowControl/>
              <w:autoSpaceDN w:val="0"/>
              <w:snapToGrid w:val="0"/>
              <w:ind w:firstLine="64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（说明：存在任何一项不符合的，应勾选“否”，并注明具体不符合内容。）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○不适用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6. 企业蔬菜生产加工人员</w:t>
            </w:r>
            <w:r>
              <w:rPr>
                <w:rFonts w:eastAsia="方正仿宋_GBK" w:hint="eastAsia"/>
                <w:sz w:val="28"/>
                <w:szCs w:val="28"/>
              </w:rPr>
              <w:t>是否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符合食品从业人员的健康要求，</w:t>
            </w:r>
            <w:r>
              <w:rPr>
                <w:rFonts w:eastAsia="方正仿宋_GBK" w:hint="eastAsia"/>
                <w:sz w:val="28"/>
                <w:szCs w:val="28"/>
              </w:rPr>
              <w:t>与食品生产相关的人员是否提供有效期内的健康证明。</w:t>
            </w:r>
          </w:p>
          <w:p>
            <w:pPr>
              <w:pStyle w:val="34"/>
              <w:widowControl/>
              <w:autoSpaceDN w:val="0"/>
              <w:snapToGrid w:val="0"/>
              <w:ind w:firstLine="640"/>
              <w:rPr>
                <w:rFonts w:ascii="方正楷体_GBK" w:eastAsia="方正楷体_GBK" w:hint="eastAsia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（说明：存在任何一项不符合的，应勾选“否”，并注明具体不符合内容。）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○不适用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7. 企业是否将</w:t>
            </w:r>
            <w:r>
              <w:rPr>
                <w:rFonts w:eastAsia="方正仿宋_GBK"/>
                <w:sz w:val="28"/>
                <w:szCs w:val="28"/>
              </w:rPr>
              <w:t>生产记录按要求归档保管，时间不少于2年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（说明：自查相关记录进行验证。如无法有效溯源，应勾选“否”，并注明具体不符合内容。）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 xml:space="preserve">○不适用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  <w:p>
            <w:pPr>
              <w:pStyle w:val="37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8.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最近一次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向香港、澳门出口蔬菜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时间。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（说明：若为新备案企业暂无出口业务的，勾选“不适用”。）</w:t>
            </w:r>
          </w:p>
          <w:p>
            <w:pPr>
              <w:pStyle w:val="38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年    月    日</w:t>
            </w:r>
          </w:p>
          <w:p>
            <w:pPr>
              <w:pStyle w:val="39"/>
              <w:autoSpaceDN w:val="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不适用</w:t>
            </w:r>
          </w:p>
          <w:p>
            <w:pPr>
              <w:pStyle w:val="39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40"/>
              <w:autoSpaceDN w:val="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9. 原料（小品种除外）是否来源于备案种植基地，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是否提供</w:t>
            </w:r>
            <w:r>
              <w:rPr>
                <w:rFonts w:eastAsia="方正仿宋_GBK"/>
                <w:sz w:val="28"/>
                <w:szCs w:val="28"/>
              </w:rPr>
              <w:t>加工原料证明文件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（说明：自查供货证明，确认是否来源于备案种植基地（小品种除外），若勾选“是”，请填写具体的备案种植基地名称。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供港小品种蔬菜名单（40种）：番西、扁豆、珍珠菜、青豆、龙须菜、韭菜花、枸橘叶、彩椒、鲜荷叶、鲜百合、皇帝菜、粉葛、雪里红、鲜淮山、马蹄、牛蒡、麻叶、茅根、富贵菜、竹笋、南瓜苗、辣椒叶、香椿、京葱、蕨菜、干葱头、益母菜、芜西、西洋菜、蒜苗、莲藕、红毛菜、莲子、唐好、小金瓜、红薯叶、鱼翅瓜、香芹、芋仔、香草料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供澳小品种蔬菜名单（90种）：臭草、黄耳、九肝菜、麻叶、珍珠菜、贝贝南瓜、贡菜、益母草、桑叶、红兰叶、樱桃萝卜、乌塌菜、紫椰菜、鲜花椒、刀豆、豌豆、玉米须、银丝王、树仔菜、儿菜、红酸膜叶、夜香花、青瓜花、迟菜心、花生芽、黄豆芽、绿豆芽、豌豆芽、蚕豆、豆苗、鲜菇（菌）类、艾叶、荷兰豆叶、鱼翅瓜、红杂菜、玉米笋(芯)、紫薯、芝麻菜、白瓜、保鲜甘蓝（羽衣甘蓝）、茨菇、其他薯类（毛薯）、冰菜、竹芋、菜头、鱼腥草、韭菜花、春菜、小白菜、荷兰豆、大利生菜，西生菜除外、蒜心、荸荠（马蹄)、菜椒（类）、香茅、刁草、叻沙叶、九层塔、百里香、蛇舌草、蒜头、娃娃菜、葱头、板粟、番薯、通菜、番薯叶、枸杞叶、荠菜、茭白笋、青葱（胡葱、细香葱)、鲜百合、芥兰头、粉葛、西葫芦（云南小瓜）、辣椒叶、莲藕、芦笋（生菜莴苣）、蕉芋、奶白菜、红苋菜、芹菜、黄秋葵、蕨菜、罗勒叶、紫苏、香兰叶（班兰叶）、薄荷叶、积雪草、鲜竹笋。）</w:t>
            </w:r>
          </w:p>
          <w:p>
            <w:pPr>
              <w:pStyle w:val="33"/>
              <w:spacing w:line="560" w:lineRule="exact"/>
              <w:rPr>
                <w:rFonts w:eastAsia="方正仿宋_GBK" w:cs="Arial"/>
                <w:color w:val="FF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FF0000"/>
                <w:sz w:val="28"/>
                <w:lang w:bidi="ar-SA"/>
              </w:rPr>
              <w:t xml:space="preserve">    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  <w:r>
              <w:rPr>
                <w:rFonts w:eastAsia="方正仿宋_GBK" w:hint="eastAsia"/>
                <w:color w:val="000000"/>
                <w:sz w:val="28"/>
              </w:rPr>
              <w:t xml:space="preserve">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○不适用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10. 是否发现收购非备案基地蔬菜（小品种除外）作为供港澳蔬菜加工原料的情况。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（说明：自查供货证明，确认是否有来源于非备案种植基地的蔬菜（小品种除外），若勾选“是”，如实填写具体的非备案基地名称、蔬菜名称、收购次数及收购时间。）</w:t>
            </w:r>
          </w:p>
          <w:p>
            <w:pPr>
              <w:pStyle w:val="41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○是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请列明（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非备案基地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名称、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蔬菜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名称、收购次数及收购时间）　　　　　　　　　　 </w:t>
            </w:r>
          </w:p>
          <w:p>
            <w:pPr>
              <w:pStyle w:val="42"/>
              <w:autoSpaceDN w:val="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方正仿宋_GBK"/>
                <w:color w:val="00000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  <w:t xml:space="preserve">                           </w:t>
            </w:r>
          </w:p>
          <w:p>
            <w:pPr>
              <w:pStyle w:val="42"/>
              <w:autoSpaceDN w:val="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○否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○不适用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情况描述： </w:t>
            </w:r>
          </w:p>
          <w:p>
            <w:pPr>
              <w:pStyle w:val="43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11. 企业是否建立供港澳蔬菜原料进货查验记录制度，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是否对每批进货原料进行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验收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，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核查进厂原料随附的供港澳蔬菜加工原料证明文件，是否留存进货查验记录。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（说明：通过自查进货原料查验记录确认。）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○否</w:t>
            </w:r>
          </w:p>
          <w:p>
            <w:pPr>
              <w:pStyle w:val="33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   ○不适用    </w:t>
            </w:r>
          </w:p>
          <w:p>
            <w:pPr>
              <w:pStyle w:val="33"/>
              <w:spacing w:line="560" w:lineRule="exact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   情况描述：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cs="Arial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>12. 企业是否备有农药残留检测设备并正常开展农药残留自检工作。</w:t>
            </w:r>
          </w:p>
          <w:p>
            <w:pPr>
              <w:pStyle w:val="38"/>
              <w:autoSpaceDN w:val="0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（说明：查看检测设备配备情况并进行描述、检测人员技能情况，查阅有毒有害物质检测记录文件等进行确认。企业可自行或委托检测，检测项目必须涵盖：有机磷和氨基甲酸酯类。）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cs="Arial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 xml:space="preserve">○是        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cs="Arial" w:hint="eastAsia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>○否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○不适用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cs="Arial" w:hint="eastAsia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>情况描述：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cs="Arial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>13. 企业是否配备专门的农残检测人员，检测数据是否建立台账。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（说明：自查相关台账及农残检测情况，如正常检测，应勾选“是”，并注明具体抽查蔬菜品种及数量，保存检测小票。）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33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color w:val="000000"/>
                <w:sz w:val="28"/>
              </w:rPr>
            </w:pPr>
            <w:r>
              <w:rPr>
                <w:rFonts w:hint="eastAsia"/>
                <w:color w:val="000000"/>
                <w:sz w:val="28"/>
              </w:rPr>
              <w:t>○不适用</w:t>
            </w:r>
          </w:p>
          <w:p>
            <w:pPr>
              <w:pStyle w:val="25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44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14.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企业是否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按照有毒有害物质监控制度进行有毒有害物质（委托）检测。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（说明：自查相关台账及农残检测情况，如正常检测，应勾选“是”，并注明具体抽查蔬菜品种及数量，保存检测小票。）</w:t>
            </w:r>
          </w:p>
          <w:p>
            <w:pPr>
              <w:pStyle w:val="45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○是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</w:t>
            </w:r>
          </w:p>
          <w:p>
            <w:pPr>
              <w:pStyle w:val="44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○否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46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不适用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情况描述：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15.检测仪器是否按规定进行计量或校准。</w:t>
            </w:r>
          </w:p>
          <w:p>
            <w:pPr>
              <w:pStyle w:val="47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47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</w:rPr>
              <w:t xml:space="preserve"> </w:t>
            </w:r>
          </w:p>
          <w:p>
            <w:pPr>
              <w:pStyle w:val="48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16. </w:t>
            </w:r>
            <w:r>
              <w:rPr>
                <w:rFonts w:eastAsia="方正仿宋_GBK" w:hint="eastAsia"/>
                <w:sz w:val="28"/>
              </w:rPr>
              <w:t>加工过程中是否使用农业投入品、食品添加剂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（说明：是否使用相关农业投入品、食品添加剂，若勾选“是”请列明农业投入品、食品添加剂名称。）</w:t>
            </w:r>
          </w:p>
          <w:p>
            <w:pPr>
              <w:pStyle w:val="48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○是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列明</w:t>
            </w:r>
            <w:r>
              <w:rPr>
                <w:rFonts w:eastAsia="方正仿宋_GBK" w:hint="eastAsia"/>
                <w:sz w:val="28"/>
              </w:rPr>
              <w:t>农业投入品、食品添加剂</w:t>
            </w:r>
            <w:r>
              <w:rPr>
                <w:rFonts w:eastAsia="方正仿宋_GBK"/>
                <w:color w:val="000000"/>
                <w:sz w:val="28"/>
                <w:szCs w:val="28"/>
              </w:rPr>
              <w:t>名称</w:t>
            </w:r>
            <w:r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  <w:t xml:space="preserve">                   </w:t>
            </w:r>
            <w:r>
              <w:rPr>
                <w:rFonts w:eastAsia="方正仿宋_GBK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49"/>
              <w:autoSpaceDN w:val="0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○否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   </w:t>
            </w:r>
          </w:p>
          <w:p>
            <w:pPr>
              <w:pStyle w:val="49"/>
              <w:autoSpaceDN w:val="0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>○不适用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17. 厂区、车间和实验室使用的的洗涤剂、消毒剂、杀虫剂、化学试剂等是否专库存放，标识清晰，严格执行化学品储存和领用管理规定，设立专人保管并记录，按照产品的使用说明谨慎使用。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（说明：若勾选“否”，请如实列明。）</w:t>
            </w:r>
          </w:p>
          <w:p>
            <w:pPr>
              <w:pStyle w:val="47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47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18.化学物品的使用，是否符合避免对蔬菜、蔬菜包装物料造成污染的要求。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（说明：若勾选“否”，请如实列明。）</w:t>
            </w:r>
          </w:p>
          <w:p>
            <w:pPr>
              <w:pStyle w:val="47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47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</w:rPr>
              <w:t xml:space="preserve">○不适用        </w:t>
            </w:r>
          </w:p>
          <w:p>
            <w:pPr>
              <w:pStyle w:val="47"/>
              <w:spacing w:line="560" w:lineRule="exact"/>
              <w:ind w:firstLineChars="200" w:firstLine="560"/>
              <w:jc w:val="lef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/>
                <w:sz w:val="28"/>
                <w:szCs w:val="28"/>
              </w:rPr>
              <w:t xml:space="preserve"> </w:t>
            </w:r>
          </w:p>
          <w:p>
            <w:pPr>
              <w:pStyle w:val="50"/>
              <w:spacing w:line="560" w:lineRule="exact"/>
              <w:ind w:firstLineChars="200" w:firstLine="560"/>
              <w:rPr>
                <w:rFonts w:eastAsia="方正仿宋_GBK" w:cs="Arial" w:hint="eastAsia"/>
                <w:color w:val="000000"/>
                <w:sz w:val="28"/>
                <w:lang w:bidi="ar-SA"/>
              </w:rPr>
            </w:pPr>
            <w:r>
              <w:rPr>
                <w:rFonts w:eastAsia="方正仿宋_GBK" w:cs="Arial" w:hint="eastAsia"/>
                <w:color w:val="000000"/>
                <w:sz w:val="28"/>
                <w:lang w:bidi="ar-SA"/>
              </w:rPr>
              <w:t>19.小品种蔬菜是否如实记录进场原料的名称、数量、供货者名称及联系方式等内容。</w:t>
            </w:r>
          </w:p>
          <w:p>
            <w:pPr>
              <w:pStyle w:val="33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（说明：查阅采购记录、入场记录等，确认是否信息完善可追溯，若勾选“否”，请如实列明。）</w:t>
            </w:r>
          </w:p>
          <w:p>
            <w:pPr>
              <w:pStyle w:val="50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○是        </w:t>
            </w:r>
          </w:p>
          <w:p>
            <w:pPr>
              <w:pStyle w:val="50"/>
              <w:spacing w:line="56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 xml:space="preserve">○否        </w:t>
            </w:r>
          </w:p>
          <w:p>
            <w:pPr>
              <w:pStyle w:val="50"/>
              <w:spacing w:line="560" w:lineRule="exact"/>
              <w:ind w:firstLineChars="200" w:firstLine="560"/>
              <w:jc w:val="left"/>
              <w:rPr>
                <w:rFonts w:eastAsia="方正仿宋_GBK" w:hint="eastAsia"/>
                <w:sz w:val="28"/>
              </w:rPr>
            </w:pPr>
            <w:r>
              <w:rPr>
                <w:rFonts w:eastAsia="方正仿宋_GBK" w:hint="eastAsia"/>
                <w:sz w:val="28"/>
              </w:rPr>
              <w:t>○</w:t>
            </w:r>
            <w:r>
              <w:rPr>
                <w:rFonts w:eastAsia="方正仿宋_GBK"/>
                <w:sz w:val="28"/>
              </w:rPr>
              <w:t>不适用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hint="eastAsia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</w:tc>
      </w:tr>
      <w:tr>
        <w:trPr>
          <w:trHeight w:val="138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90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9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9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9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48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以上材料共　</w:t>
            </w:r>
            <w:r>
              <w:rPr>
                <w:rFonts w:eastAsia="方正仿宋_GBK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sz w:val="28"/>
                <w:szCs w:val="28"/>
              </w:rPr>
              <w:t>页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93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93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93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91"/>
              <w:spacing w:line="480" w:lineRule="exact"/>
            </w:pPr>
          </w:p>
          <w:p>
            <w:pPr>
              <w:pStyle w:val="49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ind w:firstLineChars="2450" w:firstLine="68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 章）　　　　　　　　　　　　　</w:t>
            </w:r>
          </w:p>
          <w:p>
            <w:pPr>
              <w:pStyle w:val="33"/>
              <w:spacing w:line="560" w:lineRule="exact"/>
              <w:ind w:firstLineChars="2300" w:firstLine="6440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备注：</w:t>
            </w:r>
          </w:p>
        </w:tc>
      </w:tr>
    </w:tbl>
    <w:p>
      <w:pPr>
        <w:spacing w:line="560" w:lineRule="exact"/>
        <w:jc w:val="left"/>
        <w:rPr>
          <w:rFonts w:hint="eastAsia"/>
        </w:rPr>
      </w:pPr>
    </w:p>
    <w:sectPr>
      <w:pgSz w:w="11906" w:h="16838"/>
      <w:pgMar w:top="2098" w:right="1474" w:bottom="1985" w:left="1588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等线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altName w:val="宋体"/>
    <w:panose1 w:val="00000000000000000000"/>
    <w:charset w:val="86"/>
    <w:family w:val="roman"/>
    <w:pitch w:val="variable"/>
    <w:sig w:usb0="00000001" w:usb1="080E0000" w:usb2="0000001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trackRevisions/>
  <w:defaultTabStop w:val="420"/>
  <w:drawingGridHorizontalSpacing w:val="18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样式 三号"/>
    <w:next w:val="0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8">
    <w:name w:val="annotation text"/>
    <w:basedOn w:val="0"/>
    <w:pPr>
      <w:jc w:val="left"/>
    </w:pPr>
    <w:rPr>
      <w:rFonts w:ascii="Times New Roman" w:eastAsia="方正仿宋_GBK" w:hAnsi="Times New Roman"/>
      <w:sz w:val="32"/>
    </w:rPr>
  </w:style>
  <w:style w:type="paragraph" w:customStyle="1" w:styleId="19">
    <w:name w:val="列出段落"/>
    <w:basedOn w:val="0"/>
    <w:next w:val="15"/>
    <w:pPr>
      <w:ind w:firstLineChars="200" w:firstLine="200"/>
    </w:pPr>
    <w:rPr>
      <w:rFonts w:ascii="等线" w:eastAsia="等线" w:cs="Arial"/>
      <w:lang w:bidi="ar-SA"/>
    </w:rPr>
  </w:style>
  <w:style w:type="paragraph" w:customStyle="1" w:styleId="20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1 三号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szCs w:val="28"/>
      <w:lang w:val="en-US" w:eastAsia="zh-CN" w:bidi="ar-SA"/>
    </w:rPr>
  </w:style>
  <w:style w:type="paragraph" w:customStyle="1" w:styleId="22">
    <w:name w:val="样式 2 三号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lang w:val="en-US" w:eastAsia="zh-CN" w:bidi="ar-SA"/>
    </w:rPr>
  </w:style>
  <w:style w:type="paragraph" w:customStyle="1" w:styleId="23">
    <w:name w:val="样式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4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样式 2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样式 14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">
    <w:name w:val="样式 10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10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10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">
    <w:name w:val="样式 10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10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">
    <w:name w:val="样式 1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">
    <w:name w:val="样式 13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13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">
    <w:name w:val="样式 7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">
    <w:name w:val="样式 5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">
    <w:name w:val="样式 6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">
    <w:name w:val="样式 13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">
    <w:name w:val="样式 1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">
    <w:name w:val="样式 13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">
    <w:name w:val="样式 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">
    <w:name w:val="样式 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">
    <w:name w:val="样式 7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4">
    <w:name w:val="样式 9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">
    <w:name w:val="样式 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56">
    <w:name w:val="Balloon Text"/>
    <w:basedOn w:val="0"/>
    <w:rPr>
      <w:sz w:val="18"/>
      <w:szCs w:val="18"/>
    </w:rPr>
  </w:style>
  <w:style w:type="paragraph" w:customStyle="1" w:styleId="57">
    <w:name w:val="样式 3 三号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lang w:val="en-US" w:eastAsia="zh-CN" w:bidi="ar-SA"/>
    </w:rPr>
  </w:style>
  <w:style w:type="paragraph" w:customStyle="1" w:styleId="58">
    <w:name w:val="样式 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">
    <w:name w:val="样式 1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">
    <w:name w:val="样式 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1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4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5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5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5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5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5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5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5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5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60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3">
    <w:name w:val="样式 6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6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6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64 10 磅"/>
    <w:autoRedefine/>
    <w:next w:val="8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9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9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9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9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81">
    <w:name w:val="toc 3"/>
    <w:basedOn w:val="0"/>
    <w:autoRedefine/>
    <w:next w:val="0"/>
    <w:pPr>
      <w:ind w:leftChars="400" w:left="400"/>
    </w:pPr>
  </w:style>
  <w:style w:type="paragraph" w:customStyle="1" w:styleId="82">
    <w:name w:val="样式 4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4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4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9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12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128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8">
    <w:name w:val="样式 130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9">
    <w:name w:val="List Paragraph"/>
    <w:basedOn w:val="0"/>
    <w:pPr>
      <w:ind w:firstLineChars="200" w:firstLine="200"/>
    </w:pPr>
    <w:rPr>
      <w:rFonts w:ascii="Times New Roman" w:hAnsi="Times New Roman"/>
      <w:szCs w:val="20"/>
    </w:rPr>
  </w:style>
  <w:style w:type="paragraph" w:customStyle="1" w:styleId="90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styleId="91">
    <w:name w:val="toc 1"/>
    <w:basedOn w:val="0"/>
    <w:autoRedefine/>
    <w:next w:val="0"/>
  </w:style>
  <w:style w:type="paragraph" w:customStyle="1" w:styleId="92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67 10 磅"/>
    <w:next w:val="9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styleId="94">
    <w:name w:val="Strong"/>
    <w:rPr>
      <w:b/>
    </w:rPr>
  </w:style>
  <w:style w:type="paragraph" w:styleId="95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96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06">
    <w:name w:val="Closing"/>
    <w:basedOn w:val="0"/>
    <w:pPr>
      <w:ind w:left="4320"/>
    </w:pPr>
  </w:style>
  <w:style w:type="paragraph" w:styleId="107">
    <w:name w:val="Body Text"/>
    <w:basedOn w:val="0"/>
    <w:pPr>
      <w:spacing w:after="120"/>
    </w:pPr>
  </w:style>
  <w:style w:type="paragraph" w:styleId="108">
    <w:name w:val="Body Text Indent"/>
    <w:basedOn w:val="0"/>
    <w:pPr>
      <w:spacing w:after="120"/>
      <w:ind w:left="420"/>
    </w:pPr>
  </w:style>
  <w:style w:type="paragraph" w:styleId="109">
    <w:name w:val="List Continue"/>
    <w:basedOn w:val="0"/>
    <w:pPr>
      <w:spacing w:after="120"/>
      <w:ind w:left="42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13</TotalTime>
  <Application>Yozo_Office</Application>
  <Pages>1</Pages>
  <Words>0</Words>
  <Characters>0</Characters>
  <Lines>1</Lines>
  <Paragraphs>0</Paragraphs>
  <CharactersWithSpaces>0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附件1</dc:title>
  <dc:creator>Cynthia</dc:creator>
  <cp:lastModifiedBy>曹昱芳</cp:lastModifiedBy>
  <cp:revision>5</cp:revision>
  <cp:lastPrinted>2024-12-13T09:32:00Z</cp:lastPrinted>
  <dcterms:created xsi:type="dcterms:W3CDTF">2024-12-26T08:36:00Z</dcterms:created>
  <dcterms:modified xsi:type="dcterms:W3CDTF">2025-03-06T07:06:43Z</dcterms:modified>
</cp:coreProperties>
</file>